
<file path=[Content_Types].xml><?xml version="1.0" encoding="utf-8"?>
<Types xmlns="http://schemas.openxmlformats.org/package/2006/content-types">
  <Default Extension="xml" ContentType="application/xml"/>
  <Default Extension="xlsx" ContentType="application/vnd.openxmlformats-officedocument.spreadsheetml.sheet"/>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521742">
      <w:pPr>
        <w:rPr>
          <w:rFonts w:ascii="Times New Roman" w:hAnsi="Times New Roman"/>
        </w:rPr>
      </w:pPr>
      <w:bookmarkStart w:id="0" w:name="_Toc15378441"/>
      <w:bookmarkStart w:id="1" w:name="_Toc15396597"/>
      <w:bookmarkStart w:id="2" w:name="_Toc15377193"/>
      <w:bookmarkStart w:id="3" w:name="_Toc15377425"/>
      <w:bookmarkStart w:id="4" w:name="_Toc15396475"/>
      <w:bookmarkStart w:id="5" w:name="_Toc15306267"/>
    </w:p>
    <w:p w14:paraId="3CB9220A">
      <w:pPr>
        <w:pStyle w:val="5"/>
        <w:jc w:val="center"/>
        <w:rPr>
          <w:rFonts w:hint="eastAsia" w:ascii="Times New Roman" w:hAnsi="Times New Roman" w:eastAsia="方正小标宋简体" w:cs="Times New Roman"/>
          <w:color w:val="auto"/>
          <w:kern w:val="2"/>
          <w:sz w:val="44"/>
          <w:szCs w:val="44"/>
          <w:highlight w:val="none"/>
          <w:lang w:val="en-US" w:eastAsia="zh-CN" w:bidi="ar-SA"/>
        </w:rPr>
      </w:pPr>
    </w:p>
    <w:p w14:paraId="674D3B96">
      <w:pPr>
        <w:pStyle w:val="5"/>
        <w:jc w:val="center"/>
        <w:rPr>
          <w:rFonts w:hint="eastAsia" w:ascii="Times New Roman" w:hAnsi="Times New Roman" w:eastAsia="方正小标宋简体" w:cs="Times New Roman"/>
          <w:color w:val="auto"/>
          <w:kern w:val="2"/>
          <w:sz w:val="44"/>
          <w:szCs w:val="44"/>
          <w:highlight w:val="none"/>
          <w:lang w:val="en-US" w:eastAsia="zh-CN" w:bidi="ar-SA"/>
        </w:rPr>
      </w:pPr>
    </w:p>
    <w:p w14:paraId="7789BED3">
      <w:pPr>
        <w:pStyle w:val="5"/>
        <w:jc w:val="center"/>
        <w:rPr>
          <w:rFonts w:hint="eastAsia" w:ascii="Times New Roman" w:hAnsi="Times New Roman" w:eastAsia="方正小标宋简体" w:cs="Times New Roman"/>
          <w:color w:val="auto"/>
          <w:kern w:val="2"/>
          <w:sz w:val="44"/>
          <w:szCs w:val="44"/>
          <w:highlight w:val="none"/>
          <w:lang w:val="en-US" w:eastAsia="zh-CN" w:bidi="ar-SA"/>
        </w:rPr>
      </w:pPr>
    </w:p>
    <w:p w14:paraId="17785EB3">
      <w:pPr>
        <w:pStyle w:val="5"/>
        <w:jc w:val="center"/>
        <w:rPr>
          <w:rFonts w:hint="eastAsia" w:ascii="Times New Roman" w:hAnsi="Times New Roman" w:eastAsia="方正小标宋简体" w:cs="Times New Roman"/>
          <w:color w:val="auto"/>
          <w:kern w:val="2"/>
          <w:sz w:val="44"/>
          <w:szCs w:val="44"/>
          <w:highlight w:val="none"/>
          <w:lang w:val="en-US" w:eastAsia="zh-CN" w:bidi="ar-SA"/>
        </w:rPr>
      </w:pPr>
    </w:p>
    <w:p w14:paraId="05FF6B90">
      <w:pPr>
        <w:pStyle w:val="5"/>
        <w:jc w:val="center"/>
        <w:rPr>
          <w:rFonts w:hint="eastAsia" w:ascii="Times New Roman" w:hAnsi="Times New Roman" w:eastAsia="方正小标宋简体" w:cs="Times New Roman"/>
          <w:color w:val="auto"/>
          <w:kern w:val="2"/>
          <w:sz w:val="44"/>
          <w:szCs w:val="44"/>
          <w:highlight w:val="none"/>
          <w:lang w:val="en-US" w:eastAsia="zh-CN" w:bidi="ar-SA"/>
        </w:rPr>
      </w:pPr>
    </w:p>
    <w:bookmarkEnd w:id="0"/>
    <w:bookmarkEnd w:id="1"/>
    <w:bookmarkEnd w:id="2"/>
    <w:bookmarkEnd w:id="3"/>
    <w:bookmarkEnd w:id="4"/>
    <w:p w14:paraId="34C0428A">
      <w:pPr>
        <w:pStyle w:val="5"/>
        <w:jc w:val="center"/>
        <w:rPr>
          <w:rFonts w:hint="eastAsia" w:ascii="Times New Roman" w:hAnsi="Times New Roman" w:eastAsia="方正小标宋简体" w:cs="Times New Roman"/>
          <w:color w:val="auto"/>
          <w:kern w:val="2"/>
          <w:sz w:val="44"/>
          <w:szCs w:val="44"/>
          <w:highlight w:val="none"/>
          <w:lang w:val="en-US" w:eastAsia="zh-CN" w:bidi="ar-SA"/>
        </w:rPr>
      </w:pPr>
      <w:bookmarkStart w:id="6" w:name="_Toc15377194"/>
      <w:bookmarkStart w:id="7" w:name="_Toc15378442"/>
      <w:bookmarkStart w:id="8" w:name="_Toc15396598"/>
      <w:bookmarkStart w:id="9" w:name="_Toc15377426"/>
      <w:bookmarkStart w:id="10" w:name="_Toc15396476"/>
      <w:r>
        <w:rPr>
          <w:rFonts w:hint="eastAsia" w:ascii="Times New Roman" w:hAnsi="Times New Roman" w:eastAsia="方正小标宋简体" w:cs="Times New Roman"/>
          <w:color w:val="auto"/>
          <w:kern w:val="2"/>
          <w:sz w:val="44"/>
          <w:szCs w:val="44"/>
          <w:highlight w:val="none"/>
          <w:lang w:val="en-US" w:eastAsia="zh-CN" w:bidi="ar-SA"/>
        </w:rPr>
        <w:t>2024年度</w:t>
      </w:r>
      <w:bookmarkEnd w:id="5"/>
      <w:bookmarkStart w:id="11" w:name="_Toc15306268"/>
    </w:p>
    <w:p w14:paraId="0B36B44C">
      <w:pPr>
        <w:pStyle w:val="5"/>
        <w:jc w:val="center"/>
        <w:rPr>
          <w:rFonts w:hint="eastAsia" w:ascii="方正小标宋简体" w:hAnsi="宋体" w:eastAsia="方正小标宋简体" w:cs="Times New Roman"/>
          <w:color w:val="auto"/>
          <w:kern w:val="2"/>
          <w:sz w:val="44"/>
          <w:szCs w:val="44"/>
          <w:highlight w:val="none"/>
          <w:lang w:val="en-US" w:eastAsia="zh-CN" w:bidi="ar-SA"/>
        </w:rPr>
      </w:pPr>
      <w:r>
        <w:rPr>
          <w:rFonts w:hint="eastAsia" w:ascii="方正小标宋简体" w:hAnsi="宋体" w:eastAsia="方正小标宋简体" w:cs="Times New Roman"/>
          <w:color w:val="auto"/>
          <w:kern w:val="2"/>
          <w:sz w:val="44"/>
          <w:szCs w:val="44"/>
          <w:highlight w:val="none"/>
          <w:lang w:val="en-US" w:eastAsia="zh-CN" w:bidi="ar-SA"/>
        </w:rPr>
        <w:t>中国共产党泸州市委员会政法委员会</w:t>
      </w:r>
    </w:p>
    <w:p w14:paraId="74A406F2">
      <w:pPr>
        <w:pStyle w:val="5"/>
        <w:jc w:val="center"/>
        <w:rPr>
          <w:rFonts w:hint="eastAsia" w:ascii="Times New Roman" w:hAnsi="Times New Roman" w:eastAsia="方正小标宋简体" w:cs="Times New Roman"/>
          <w:color w:val="auto"/>
          <w:kern w:val="2"/>
          <w:sz w:val="44"/>
          <w:szCs w:val="44"/>
          <w:highlight w:val="none"/>
          <w:lang w:val="en-US" w:eastAsia="zh-CN" w:bidi="ar-SA"/>
        </w:rPr>
      </w:pPr>
      <w:r>
        <w:rPr>
          <w:rFonts w:hint="eastAsia" w:ascii="Times New Roman" w:hAnsi="Times New Roman" w:eastAsia="方正小标宋简体" w:cs="Times New Roman"/>
          <w:color w:val="auto"/>
          <w:kern w:val="2"/>
          <w:sz w:val="44"/>
          <w:szCs w:val="44"/>
          <w:highlight w:val="none"/>
          <w:lang w:val="en-US" w:eastAsia="zh-CN" w:bidi="ar-SA"/>
        </w:rPr>
        <w:t>部门决算</w:t>
      </w:r>
      <w:bookmarkEnd w:id="6"/>
      <w:bookmarkEnd w:id="7"/>
      <w:bookmarkEnd w:id="8"/>
      <w:bookmarkEnd w:id="9"/>
      <w:bookmarkEnd w:id="10"/>
      <w:bookmarkEnd w:id="11"/>
    </w:p>
    <w:p w14:paraId="4ACED91C">
      <w:pPr>
        <w:widowControl/>
        <w:jc w:val="center"/>
        <w:rPr>
          <w:rFonts w:hint="eastAsia" w:ascii="Times New Roman" w:hAnsi="Times New Roman" w:eastAsia="黑体"/>
          <w:color w:val="auto"/>
          <w:sz w:val="48"/>
          <w:szCs w:val="48"/>
          <w:highlight w:val="none"/>
        </w:rPr>
      </w:pPr>
    </w:p>
    <w:p w14:paraId="55327E1A">
      <w:pPr>
        <w:widowControl/>
        <w:jc w:val="center"/>
        <w:rPr>
          <w:rFonts w:hint="eastAsia" w:ascii="Times New Roman" w:hAnsi="Times New Roman" w:eastAsia="黑体"/>
          <w:color w:val="auto"/>
          <w:sz w:val="48"/>
          <w:szCs w:val="48"/>
          <w:highlight w:val="none"/>
        </w:rPr>
      </w:pPr>
    </w:p>
    <w:p w14:paraId="4823BE1D">
      <w:pPr>
        <w:widowControl/>
        <w:jc w:val="center"/>
        <w:rPr>
          <w:rFonts w:hint="eastAsia" w:ascii="Times New Roman" w:hAnsi="Times New Roman" w:eastAsia="黑体"/>
          <w:color w:val="auto"/>
          <w:sz w:val="48"/>
          <w:szCs w:val="48"/>
          <w:highlight w:val="none"/>
        </w:rPr>
      </w:pPr>
    </w:p>
    <w:p w14:paraId="2F3431C5">
      <w:pPr>
        <w:widowControl/>
        <w:jc w:val="center"/>
        <w:rPr>
          <w:rFonts w:hint="eastAsia" w:ascii="Times New Roman" w:hAnsi="Times New Roman" w:eastAsia="黑体"/>
          <w:color w:val="auto"/>
          <w:sz w:val="48"/>
          <w:szCs w:val="48"/>
          <w:highlight w:val="none"/>
        </w:rPr>
      </w:pPr>
    </w:p>
    <w:p w14:paraId="0409177C">
      <w:pPr>
        <w:widowControl/>
        <w:jc w:val="center"/>
        <w:rPr>
          <w:rFonts w:hint="eastAsia" w:ascii="Times New Roman" w:hAnsi="Times New Roman" w:eastAsia="黑体"/>
          <w:color w:val="auto"/>
          <w:sz w:val="48"/>
          <w:szCs w:val="48"/>
          <w:highlight w:val="none"/>
        </w:rPr>
      </w:pPr>
    </w:p>
    <w:p w14:paraId="43F7D14F">
      <w:pPr>
        <w:widowControl/>
        <w:jc w:val="center"/>
        <w:rPr>
          <w:rFonts w:hint="eastAsia" w:ascii="Times New Roman" w:hAnsi="Times New Roman" w:eastAsia="黑体"/>
          <w:color w:val="auto"/>
          <w:sz w:val="48"/>
          <w:szCs w:val="48"/>
          <w:highlight w:val="none"/>
        </w:rPr>
      </w:pPr>
    </w:p>
    <w:p w14:paraId="4C1AA97D">
      <w:pPr>
        <w:widowControl/>
        <w:jc w:val="center"/>
        <w:rPr>
          <w:rFonts w:hint="eastAsia" w:ascii="Times New Roman" w:hAnsi="Times New Roman" w:eastAsia="黑体"/>
          <w:color w:val="auto"/>
          <w:sz w:val="48"/>
          <w:szCs w:val="48"/>
          <w:highlight w:val="none"/>
        </w:rPr>
      </w:pPr>
    </w:p>
    <w:p w14:paraId="3D101C5C">
      <w:pPr>
        <w:widowControl/>
        <w:jc w:val="center"/>
        <w:rPr>
          <w:rFonts w:hint="eastAsia" w:ascii="Times New Roman" w:hAnsi="Times New Roman" w:eastAsia="黑体"/>
          <w:color w:val="auto"/>
          <w:sz w:val="48"/>
          <w:szCs w:val="48"/>
          <w:highlight w:val="none"/>
        </w:rPr>
      </w:pPr>
    </w:p>
    <w:p w14:paraId="2C533F88">
      <w:pPr>
        <w:widowControl/>
        <w:jc w:val="center"/>
        <w:rPr>
          <w:rFonts w:hint="eastAsia" w:ascii="Times New Roman" w:hAnsi="Times New Roman" w:eastAsia="黑体"/>
          <w:color w:val="auto"/>
          <w:sz w:val="48"/>
          <w:szCs w:val="48"/>
          <w:highlight w:val="none"/>
        </w:rPr>
      </w:pPr>
    </w:p>
    <w:p w14:paraId="72251188">
      <w:pPr>
        <w:widowControl/>
        <w:jc w:val="center"/>
        <w:rPr>
          <w:rFonts w:hint="eastAsia" w:ascii="Times New Roman" w:hAnsi="Times New Roman" w:eastAsia="黑体"/>
          <w:color w:val="auto"/>
          <w:sz w:val="48"/>
          <w:szCs w:val="48"/>
          <w:highlight w:val="none"/>
        </w:rPr>
      </w:pPr>
    </w:p>
    <w:p w14:paraId="211FEB6E">
      <w:pPr>
        <w:widowControl/>
        <w:jc w:val="center"/>
        <w:rPr>
          <w:rFonts w:hint="eastAsia" w:ascii="Times New Roman" w:hAnsi="Times New Roman" w:eastAsia="黑体"/>
          <w:color w:val="auto"/>
          <w:sz w:val="48"/>
          <w:szCs w:val="48"/>
          <w:highlight w:val="none"/>
        </w:rPr>
      </w:pPr>
    </w:p>
    <w:p w14:paraId="72AF6960">
      <w:pPr>
        <w:widowControl/>
        <w:jc w:val="center"/>
        <w:rPr>
          <w:rFonts w:hint="eastAsia" w:ascii="Times New Roman" w:hAnsi="Times New Roman" w:eastAsia="黑体"/>
          <w:color w:val="auto"/>
          <w:sz w:val="48"/>
          <w:szCs w:val="48"/>
          <w:highlight w:val="none"/>
        </w:rPr>
      </w:pPr>
    </w:p>
    <w:p w14:paraId="1BD7A39D">
      <w:pPr>
        <w:widowControl/>
        <w:jc w:val="center"/>
        <w:rPr>
          <w:rFonts w:hint="eastAsia" w:ascii="Times New Roman" w:hAnsi="Times New Roman" w:eastAsia="黑体"/>
          <w:color w:val="auto"/>
          <w:sz w:val="48"/>
          <w:szCs w:val="48"/>
          <w:highlight w:val="none"/>
        </w:rPr>
        <w:sectPr>
          <w:headerReference r:id="rId4" w:type="first"/>
          <w:headerReference r:id="rId3" w:type="default"/>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start="1"/>
          <w:cols w:space="425" w:num="1"/>
          <w:titlePg/>
          <w:docGrid w:type="lines" w:linePitch="312" w:charSpace="0"/>
        </w:sectPr>
      </w:pPr>
    </w:p>
    <w:p w14:paraId="28093E1C">
      <w:pPr>
        <w:widowControl/>
        <w:jc w:val="center"/>
        <w:rPr>
          <w:rFonts w:ascii="Times New Roman" w:hAnsi="Times New Roman" w:eastAsia="黑体"/>
          <w:color w:val="auto"/>
          <w:sz w:val="48"/>
          <w:szCs w:val="48"/>
          <w:highlight w:val="none"/>
        </w:rPr>
      </w:pPr>
      <w:r>
        <w:rPr>
          <w:rFonts w:hint="eastAsia" w:ascii="Times New Roman" w:hAnsi="Times New Roman" w:eastAsia="黑体"/>
          <w:color w:val="auto"/>
          <w:sz w:val="48"/>
          <w:szCs w:val="48"/>
          <w:highlight w:val="none"/>
        </w:rPr>
        <w:t>目录</w:t>
      </w:r>
    </w:p>
    <w:p w14:paraId="196FB5D1">
      <w:pPr>
        <w:widowControl/>
        <w:jc w:val="center"/>
        <w:rPr>
          <w:rFonts w:ascii="Times New Roman" w:hAnsi="Times New Roman" w:eastAsia="黑体" w:cstheme="minorBidi"/>
          <w:color w:val="auto"/>
          <w:sz w:val="28"/>
          <w:szCs w:val="28"/>
          <w:highlight w:val="none"/>
        </w:rPr>
      </w:pPr>
    </w:p>
    <w:p w14:paraId="74C0809C">
      <w:pPr>
        <w:pStyle w:val="12"/>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公开时间：20</w:t>
      </w:r>
      <w:r>
        <w:rPr>
          <w:rFonts w:hint="eastAsia" w:ascii="Times New Roman" w:hAnsi="Times New Roman" w:eastAsia="仿宋_GB2312" w:cs="仿宋_GB2312"/>
          <w:color w:val="auto"/>
          <w:sz w:val="32"/>
          <w:szCs w:val="32"/>
          <w:highlight w:val="none"/>
          <w:lang w:val="en-US" w:eastAsia="zh-CN"/>
        </w:rPr>
        <w:t>25</w:t>
      </w:r>
      <w:r>
        <w:rPr>
          <w:rFonts w:hint="eastAsia" w:ascii="Times New Roman" w:hAnsi="Times New Roman" w:eastAsia="仿宋_GB2312" w:cs="仿宋_GB2312"/>
          <w:color w:val="auto"/>
          <w:sz w:val="32"/>
          <w:szCs w:val="32"/>
          <w:highlight w:val="none"/>
        </w:rPr>
        <w:t>年</w:t>
      </w:r>
      <w:r>
        <w:rPr>
          <w:rFonts w:hint="eastAsia" w:ascii="Times New Roman" w:hAnsi="Times New Roman" w:eastAsia="仿宋_GB2312" w:cs="仿宋_GB2312"/>
          <w:color w:val="auto"/>
          <w:sz w:val="32"/>
          <w:szCs w:val="32"/>
          <w:highlight w:val="none"/>
          <w:lang w:val="en-US" w:eastAsia="zh-CN"/>
        </w:rPr>
        <w:t>9</w:t>
      </w:r>
      <w:r>
        <w:rPr>
          <w:rFonts w:hint="eastAsia" w:ascii="Times New Roman" w:hAnsi="Times New Roman" w:eastAsia="仿宋_GB2312" w:cs="仿宋_GB2312"/>
          <w:color w:val="auto"/>
          <w:sz w:val="32"/>
          <w:szCs w:val="32"/>
          <w:highlight w:val="none"/>
        </w:rPr>
        <w:t>月</w:t>
      </w:r>
      <w:r>
        <w:rPr>
          <w:rFonts w:hint="eastAsia" w:ascii="Times New Roman" w:hAnsi="Times New Roman" w:eastAsia="仿宋_GB2312" w:cs="仿宋_GB2312"/>
          <w:color w:val="auto"/>
          <w:sz w:val="32"/>
          <w:szCs w:val="32"/>
          <w:highlight w:val="none"/>
          <w:lang w:val="en-US" w:eastAsia="zh-CN"/>
        </w:rPr>
        <w:t xml:space="preserve"> 22 </w:t>
      </w:r>
      <w:r>
        <w:rPr>
          <w:rFonts w:hint="eastAsia" w:ascii="Times New Roman" w:hAnsi="Times New Roman" w:eastAsia="仿宋_GB2312" w:cs="仿宋_GB2312"/>
          <w:color w:val="auto"/>
          <w:sz w:val="32"/>
          <w:szCs w:val="32"/>
          <w:highlight w:val="none"/>
        </w:rPr>
        <w:t>日</w:t>
      </w:r>
    </w:p>
    <w:p w14:paraId="462D2968">
      <w:pPr>
        <w:rPr>
          <w:rFonts w:ascii="Times New Roman" w:hAnsi="Times New Roman"/>
          <w:color w:val="auto"/>
          <w:highlight w:val="none"/>
        </w:rPr>
      </w:pPr>
    </w:p>
    <w:p w14:paraId="09203E38">
      <w:pPr>
        <w:pStyle w:val="12"/>
        <w:keepNext w:val="0"/>
        <w:keepLines w:val="0"/>
        <w:pageBreakBefore w:val="0"/>
        <w:kinsoku/>
        <w:wordWrap/>
        <w:overflowPunct/>
        <w:topLinePunct w:val="0"/>
        <w:autoSpaceDE/>
        <w:autoSpaceDN/>
        <w:bidi w:val="0"/>
        <w:adjustRightInd w:val="0"/>
        <w:snapToGrid w:val="0"/>
        <w:spacing w:before="0" w:line="560" w:lineRule="exact"/>
        <w:jc w:val="left"/>
        <w:textAlignment w:val="auto"/>
        <w:rPr>
          <w:rFonts w:hint="eastAsia" w:ascii="Times New Roman" w:hAnsi="Times New Roman" w:eastAsia="黑体" w:cs="黑体"/>
          <w:color w:val="auto"/>
          <w:sz w:val="32"/>
          <w:szCs w:val="32"/>
          <w:highlight w:val="none"/>
        </w:rPr>
      </w:pPr>
      <w:r>
        <w:rPr>
          <w:rFonts w:hint="eastAsia" w:ascii="Times New Roman" w:hAnsi="Times New Roman" w:eastAsia="黑体" w:cs="黑体"/>
          <w:color w:val="auto"/>
          <w:sz w:val="32"/>
          <w:szCs w:val="32"/>
          <w:highlight w:val="none"/>
        </w:rPr>
        <w:t>第一部分 部门概况</w:t>
      </w:r>
    </w:p>
    <w:p w14:paraId="5D017259">
      <w:pPr>
        <w:pStyle w:val="1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一、</w:t>
      </w:r>
      <w:r>
        <w:rPr>
          <w:rFonts w:hint="eastAsia" w:ascii="Times New Roman" w:hAnsi="Times New Roman" w:eastAsia="仿宋_GB2312" w:cs="仿宋_GB2312"/>
          <w:color w:val="auto"/>
          <w:sz w:val="32"/>
          <w:szCs w:val="32"/>
          <w:highlight w:val="none"/>
          <w:lang w:eastAsia="zh-CN"/>
        </w:rPr>
        <w:t>部门职责</w:t>
      </w:r>
    </w:p>
    <w:p w14:paraId="65E90AC6">
      <w:pPr>
        <w:pStyle w:val="1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二、机构设置</w:t>
      </w:r>
    </w:p>
    <w:p w14:paraId="3284260E">
      <w:pPr>
        <w:pStyle w:val="12"/>
        <w:keepNext w:val="0"/>
        <w:keepLines w:val="0"/>
        <w:pageBreakBefore w:val="0"/>
        <w:kinsoku/>
        <w:wordWrap/>
        <w:overflowPunct/>
        <w:topLinePunct w:val="0"/>
        <w:autoSpaceDE/>
        <w:autoSpaceDN/>
        <w:bidi w:val="0"/>
        <w:adjustRightInd w:val="0"/>
        <w:snapToGrid w:val="0"/>
        <w:spacing w:before="0" w:line="560" w:lineRule="exact"/>
        <w:jc w:val="left"/>
        <w:textAlignment w:val="auto"/>
        <w:rPr>
          <w:rFonts w:hint="eastAsia" w:ascii="Times New Roman" w:hAnsi="Times New Roman" w:eastAsia="黑体" w:cs="黑体"/>
          <w:color w:val="auto"/>
          <w:sz w:val="32"/>
          <w:szCs w:val="32"/>
          <w:highlight w:val="none"/>
        </w:rPr>
      </w:pPr>
      <w:r>
        <w:rPr>
          <w:rFonts w:hint="eastAsia" w:ascii="Times New Roman" w:hAnsi="Times New Roman" w:eastAsia="黑体" w:cs="黑体"/>
          <w:color w:val="auto"/>
          <w:sz w:val="32"/>
          <w:szCs w:val="32"/>
          <w:highlight w:val="none"/>
        </w:rPr>
        <w:t>第二部分</w:t>
      </w:r>
      <w:r>
        <w:rPr>
          <w:rFonts w:hint="eastAsia" w:ascii="Times New Roman" w:hAnsi="Times New Roman" w:eastAsia="黑体" w:cs="黑体"/>
          <w:color w:val="auto"/>
          <w:sz w:val="32"/>
          <w:szCs w:val="32"/>
          <w:highlight w:val="none"/>
          <w:lang w:val="en-US" w:eastAsia="zh-CN"/>
        </w:rPr>
        <w:t xml:space="preserve"> 2024年度</w:t>
      </w:r>
      <w:r>
        <w:rPr>
          <w:rFonts w:hint="eastAsia" w:ascii="Times New Roman" w:hAnsi="Times New Roman" w:eastAsia="黑体" w:cs="黑体"/>
          <w:color w:val="auto"/>
          <w:sz w:val="32"/>
          <w:szCs w:val="32"/>
          <w:highlight w:val="none"/>
        </w:rPr>
        <w:t>部门决算情况说明</w:t>
      </w:r>
    </w:p>
    <w:p w14:paraId="2E5B3A8D">
      <w:pPr>
        <w:pStyle w:val="1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一、收入支出决算总体情况说明</w:t>
      </w:r>
    </w:p>
    <w:p w14:paraId="6D2B591B">
      <w:pPr>
        <w:pStyle w:val="1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二、收入决算情况说明</w:t>
      </w:r>
    </w:p>
    <w:p w14:paraId="2E65A7C9">
      <w:pPr>
        <w:pStyle w:val="1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三、支出决算情况说明</w:t>
      </w:r>
    </w:p>
    <w:p w14:paraId="7905AB92">
      <w:pPr>
        <w:pStyle w:val="1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四、财政拨款收入支出决算总体情况说明</w:t>
      </w:r>
    </w:p>
    <w:p w14:paraId="12D0E8BA">
      <w:pPr>
        <w:pStyle w:val="1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五、一般公共预算财政拨款支出决算情况说明</w:t>
      </w:r>
    </w:p>
    <w:p w14:paraId="7AE55E55">
      <w:pPr>
        <w:pStyle w:val="1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六、一般公共预算财政拨款基本支出决算情况说明</w:t>
      </w:r>
    </w:p>
    <w:p w14:paraId="175B5F92">
      <w:pPr>
        <w:pStyle w:val="1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七、财政拨款</w:t>
      </w:r>
      <w:r>
        <w:rPr>
          <w:rFonts w:hint="eastAsia" w:ascii="Times New Roman" w:hAnsi="Times New Roman" w:eastAsia="仿宋_GB2312" w:cs="仿宋_GB2312"/>
          <w:color w:val="auto"/>
          <w:sz w:val="32"/>
          <w:szCs w:val="32"/>
          <w:highlight w:val="none"/>
          <w:lang w:eastAsia="zh-CN"/>
        </w:rPr>
        <w:t>“</w:t>
      </w:r>
      <w:r>
        <w:rPr>
          <w:rFonts w:hint="eastAsia" w:ascii="Times New Roman" w:hAnsi="Times New Roman" w:eastAsia="仿宋_GB2312" w:cs="仿宋_GB2312"/>
          <w:color w:val="auto"/>
          <w:sz w:val="32"/>
          <w:szCs w:val="32"/>
          <w:highlight w:val="none"/>
        </w:rPr>
        <w:t>三公”经费支出决算情况说明</w:t>
      </w:r>
    </w:p>
    <w:p w14:paraId="3FEA343C">
      <w:pPr>
        <w:pStyle w:val="1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八、政府性基金预算支出决算情况说明</w:t>
      </w:r>
    </w:p>
    <w:p w14:paraId="202D73B5">
      <w:pPr>
        <w:pStyle w:val="1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九、</w:t>
      </w:r>
      <w:r>
        <w:rPr>
          <w:rFonts w:hint="eastAsia" w:ascii="Times New Roman" w:hAnsi="Times New Roman" w:eastAsia="仿宋_GB2312" w:cs="仿宋_GB2312"/>
          <w:color w:val="auto"/>
          <w:sz w:val="32"/>
          <w:szCs w:val="32"/>
          <w:highlight w:val="none"/>
          <w:lang w:eastAsia="zh-CN"/>
        </w:rPr>
        <w:t>国</w:t>
      </w:r>
      <w:r>
        <w:rPr>
          <w:rFonts w:hint="eastAsia" w:ascii="Times New Roman" w:hAnsi="Times New Roman" w:eastAsia="仿宋_GB2312" w:cs="仿宋_GB2312"/>
          <w:color w:val="auto"/>
          <w:sz w:val="32"/>
          <w:szCs w:val="32"/>
          <w:highlight w:val="none"/>
        </w:rPr>
        <w:t>有资本经营预算支出决算情况说明</w:t>
      </w:r>
    </w:p>
    <w:p w14:paraId="607A7D20">
      <w:pPr>
        <w:pStyle w:val="1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lang w:eastAsia="zh-CN"/>
        </w:rPr>
        <w:t>十</w:t>
      </w:r>
      <w:r>
        <w:rPr>
          <w:rFonts w:hint="eastAsia" w:ascii="Times New Roman" w:hAnsi="Times New Roman" w:eastAsia="仿宋_GB2312" w:cs="仿宋_GB2312"/>
          <w:color w:val="auto"/>
          <w:sz w:val="32"/>
          <w:szCs w:val="32"/>
          <w:highlight w:val="none"/>
        </w:rPr>
        <w:t>、其他重要事项的情况说明</w:t>
      </w:r>
    </w:p>
    <w:p w14:paraId="2DB0E0BA">
      <w:pPr>
        <w:pStyle w:val="12"/>
        <w:keepNext w:val="0"/>
        <w:keepLines w:val="0"/>
        <w:pageBreakBefore w:val="0"/>
        <w:kinsoku/>
        <w:wordWrap/>
        <w:overflowPunct/>
        <w:topLinePunct w:val="0"/>
        <w:autoSpaceDE/>
        <w:autoSpaceDN/>
        <w:bidi w:val="0"/>
        <w:adjustRightInd w:val="0"/>
        <w:snapToGrid w:val="0"/>
        <w:spacing w:before="0" w:line="560" w:lineRule="exact"/>
        <w:jc w:val="left"/>
        <w:textAlignment w:val="auto"/>
        <w:rPr>
          <w:rFonts w:hint="eastAsia" w:ascii="Times New Roman" w:hAnsi="Times New Roman" w:eastAsia="黑体" w:cs="黑体"/>
          <w:color w:val="auto"/>
          <w:sz w:val="32"/>
          <w:szCs w:val="32"/>
          <w:highlight w:val="none"/>
        </w:rPr>
      </w:pPr>
      <w:r>
        <w:rPr>
          <w:rFonts w:hint="eastAsia" w:ascii="Times New Roman" w:hAnsi="Times New Roman" w:eastAsia="黑体" w:cs="黑体"/>
          <w:color w:val="auto"/>
          <w:sz w:val="32"/>
          <w:szCs w:val="32"/>
          <w:highlight w:val="none"/>
        </w:rPr>
        <w:t>第三部分 名词解释</w:t>
      </w:r>
    </w:p>
    <w:p w14:paraId="6AF2E098">
      <w:pPr>
        <w:pStyle w:val="12"/>
        <w:keepNext w:val="0"/>
        <w:keepLines w:val="0"/>
        <w:pageBreakBefore w:val="0"/>
        <w:kinsoku/>
        <w:wordWrap/>
        <w:overflowPunct/>
        <w:topLinePunct w:val="0"/>
        <w:autoSpaceDE/>
        <w:autoSpaceDN/>
        <w:bidi w:val="0"/>
        <w:adjustRightInd w:val="0"/>
        <w:snapToGrid w:val="0"/>
        <w:spacing w:before="0" w:line="560" w:lineRule="exact"/>
        <w:jc w:val="left"/>
        <w:textAlignment w:val="auto"/>
        <w:rPr>
          <w:rFonts w:hint="eastAsia" w:ascii="Times New Roman" w:hAnsi="Times New Roman" w:eastAsia="黑体" w:cs="黑体"/>
          <w:color w:val="auto"/>
          <w:sz w:val="32"/>
          <w:szCs w:val="32"/>
          <w:highlight w:val="none"/>
        </w:rPr>
      </w:pPr>
      <w:r>
        <w:rPr>
          <w:rFonts w:hint="eastAsia" w:ascii="Times New Roman" w:hAnsi="Times New Roman" w:eastAsia="黑体" w:cs="黑体"/>
          <w:color w:val="auto"/>
          <w:sz w:val="32"/>
          <w:szCs w:val="32"/>
          <w:highlight w:val="none"/>
        </w:rPr>
        <w:t>第四部分 附件</w:t>
      </w:r>
    </w:p>
    <w:p w14:paraId="4C37F99C">
      <w:pPr>
        <w:pStyle w:val="12"/>
        <w:keepNext w:val="0"/>
        <w:keepLines w:val="0"/>
        <w:pageBreakBefore w:val="0"/>
        <w:kinsoku/>
        <w:wordWrap/>
        <w:overflowPunct/>
        <w:topLinePunct w:val="0"/>
        <w:autoSpaceDE/>
        <w:autoSpaceDN/>
        <w:bidi w:val="0"/>
        <w:adjustRightInd w:val="0"/>
        <w:snapToGrid w:val="0"/>
        <w:spacing w:before="0" w:line="560" w:lineRule="exact"/>
        <w:jc w:val="left"/>
        <w:textAlignment w:val="auto"/>
        <w:rPr>
          <w:rFonts w:hint="eastAsia" w:ascii="Times New Roman" w:hAnsi="Times New Roman" w:eastAsia="黑体" w:cs="黑体"/>
          <w:color w:val="auto"/>
          <w:sz w:val="32"/>
          <w:szCs w:val="32"/>
          <w:highlight w:val="none"/>
        </w:rPr>
      </w:pPr>
      <w:r>
        <w:rPr>
          <w:rFonts w:hint="eastAsia" w:ascii="Times New Roman" w:hAnsi="Times New Roman" w:eastAsia="黑体" w:cs="黑体"/>
          <w:color w:val="auto"/>
          <w:sz w:val="32"/>
          <w:szCs w:val="32"/>
          <w:highlight w:val="none"/>
        </w:rPr>
        <w:t>第五部分 附表</w:t>
      </w:r>
    </w:p>
    <w:p w14:paraId="3230FD12">
      <w:pPr>
        <w:pStyle w:val="1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一、收入支出决算总表</w:t>
      </w:r>
    </w:p>
    <w:p w14:paraId="3634DC98">
      <w:pPr>
        <w:pStyle w:val="1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二、收入决算表</w:t>
      </w:r>
    </w:p>
    <w:p w14:paraId="64F09269">
      <w:pPr>
        <w:pStyle w:val="1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三、支出决算表</w:t>
      </w:r>
    </w:p>
    <w:p w14:paraId="70A838CA">
      <w:pPr>
        <w:pStyle w:val="1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sectPr>
          <w:footerReference r:id="rId7" w:type="first"/>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start="1"/>
          <w:cols w:space="425" w:num="1"/>
          <w:titlePg/>
          <w:docGrid w:type="lines" w:linePitch="312" w:charSpace="0"/>
        </w:sectPr>
      </w:pPr>
    </w:p>
    <w:p w14:paraId="5A12304F">
      <w:pPr>
        <w:pStyle w:val="1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四、财政拨款收入支出决算总表</w:t>
      </w:r>
    </w:p>
    <w:p w14:paraId="19829A59">
      <w:pPr>
        <w:pStyle w:val="1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五、财政拨款支出决算明细表</w:t>
      </w:r>
    </w:p>
    <w:p w14:paraId="31F49A6F">
      <w:pPr>
        <w:pStyle w:val="1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六、一般公共预算财政拨款支出决算表</w:t>
      </w:r>
    </w:p>
    <w:p w14:paraId="76DE9B1C">
      <w:pPr>
        <w:pStyle w:val="1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七、一般公共预算财政拨款支出决算明细表</w:t>
      </w:r>
    </w:p>
    <w:p w14:paraId="250EE722">
      <w:pPr>
        <w:pStyle w:val="1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八、一般公共预算财政拨款基本支出决算</w:t>
      </w:r>
      <w:r>
        <w:rPr>
          <w:rFonts w:hint="eastAsia" w:ascii="Times New Roman" w:hAnsi="Times New Roman" w:eastAsia="仿宋_GB2312" w:cs="仿宋_GB2312"/>
          <w:color w:val="auto"/>
          <w:sz w:val="32"/>
          <w:szCs w:val="32"/>
          <w:highlight w:val="none"/>
          <w:lang w:eastAsia="zh-CN"/>
        </w:rPr>
        <w:t>明细</w:t>
      </w:r>
      <w:r>
        <w:rPr>
          <w:rFonts w:hint="eastAsia" w:ascii="Times New Roman" w:hAnsi="Times New Roman" w:eastAsia="仿宋_GB2312" w:cs="仿宋_GB2312"/>
          <w:color w:val="auto"/>
          <w:sz w:val="32"/>
          <w:szCs w:val="32"/>
          <w:highlight w:val="none"/>
        </w:rPr>
        <w:t>表</w:t>
      </w:r>
    </w:p>
    <w:p w14:paraId="0692ED48">
      <w:pPr>
        <w:pStyle w:val="1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九、一般公共预算财政拨款项目支出决算表</w:t>
      </w:r>
    </w:p>
    <w:p w14:paraId="44160E73">
      <w:pPr>
        <w:pStyle w:val="1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十、政府性基金预算财政拨款收入支出决算表</w:t>
      </w:r>
    </w:p>
    <w:p w14:paraId="7E6A4B12">
      <w:pPr>
        <w:pStyle w:val="1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十一、国有资本经营预算财政拨款收入支出决算表</w:t>
      </w:r>
    </w:p>
    <w:p w14:paraId="08DA89AB">
      <w:pPr>
        <w:pStyle w:val="1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十二、</w:t>
      </w:r>
      <w:r>
        <w:rPr>
          <w:rFonts w:hint="eastAsia" w:ascii="Times New Roman" w:hAnsi="Times New Roman" w:eastAsia="仿宋_GB2312" w:cs="仿宋_GB2312"/>
          <w:color w:val="auto"/>
          <w:sz w:val="32"/>
          <w:szCs w:val="32"/>
          <w:highlight w:val="none"/>
          <w:lang w:val="en-US" w:eastAsia="zh-CN"/>
        </w:rPr>
        <w:t>国有资本经营预算财政拨款支出决算表</w:t>
      </w:r>
    </w:p>
    <w:p w14:paraId="3FE63803">
      <w:pPr>
        <w:pStyle w:val="1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十三、财政拨款“三公”经费支出决算表</w:t>
      </w:r>
    </w:p>
    <w:p w14:paraId="0A0C3748">
      <w:pPr>
        <w:pStyle w:val="2"/>
        <w:jc w:val="center"/>
        <w:rPr>
          <w:rFonts w:hint="eastAsia" w:ascii="Times New Roman" w:hAnsi="Times New Roman" w:eastAsia="方正小标宋简体" w:cs="方正小标宋简体"/>
          <w:b w:val="0"/>
          <w:color w:val="auto"/>
          <w:highlight w:val="none"/>
        </w:rPr>
        <w:sectPr>
          <w:footerReference r:id="rId9" w:type="first"/>
          <w:footerReference r:id="rId8"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start="1"/>
          <w:cols w:space="425" w:num="1"/>
          <w:titlePg/>
          <w:docGrid w:type="lines" w:linePitch="312" w:charSpace="0"/>
        </w:sectPr>
      </w:pPr>
      <w:bookmarkStart w:id="12" w:name="_Toc15377196"/>
      <w:bookmarkStart w:id="13" w:name="_Toc15396599"/>
    </w:p>
    <w:p w14:paraId="480260B7">
      <w:pPr>
        <w:pStyle w:val="2"/>
        <w:jc w:val="center"/>
        <w:rPr>
          <w:rStyle w:val="28"/>
          <w:rFonts w:hint="eastAsia" w:ascii="Times New Roman" w:hAnsi="Times New Roman" w:eastAsia="方正小标宋简体" w:cs="方正小标宋简体"/>
          <w:b/>
          <w:bCs w:val="0"/>
          <w:color w:val="auto"/>
          <w:highlight w:val="none"/>
        </w:rPr>
      </w:pPr>
      <w:r>
        <w:rPr>
          <w:rFonts w:hint="eastAsia" w:ascii="Times New Roman" w:hAnsi="Times New Roman" w:eastAsia="方正小标宋简体" w:cs="方正小标宋简体"/>
          <w:b w:val="0"/>
          <w:color w:val="auto"/>
          <w:highlight w:val="none"/>
        </w:rPr>
        <w:t>第一部分</w:t>
      </w:r>
      <w:r>
        <w:rPr>
          <w:rFonts w:hint="eastAsia" w:ascii="Times New Roman" w:hAnsi="Times New Roman" w:eastAsia="方正小标宋简体" w:cs="方正小标宋简体"/>
          <w:b w:val="0"/>
          <w:color w:val="auto"/>
          <w:highlight w:val="none"/>
          <w:lang w:val="en-US" w:eastAsia="zh-CN"/>
        </w:rPr>
        <w:t xml:space="preserve"> </w:t>
      </w:r>
      <w:r>
        <w:rPr>
          <w:rFonts w:hint="eastAsia" w:ascii="Times New Roman" w:hAnsi="Times New Roman" w:eastAsia="方正小标宋简体" w:cs="方正小标宋简体"/>
          <w:b w:val="0"/>
          <w:color w:val="auto"/>
          <w:highlight w:val="none"/>
        </w:rPr>
        <w:t xml:space="preserve"> </w:t>
      </w:r>
      <w:r>
        <w:rPr>
          <w:rStyle w:val="28"/>
          <w:rFonts w:hint="eastAsia" w:ascii="Times New Roman" w:hAnsi="Times New Roman" w:eastAsia="方正小标宋简体" w:cs="方正小标宋简体"/>
          <w:b w:val="0"/>
          <w:bCs w:val="0"/>
          <w:color w:val="auto"/>
          <w:highlight w:val="none"/>
        </w:rPr>
        <w:t>部门概况</w:t>
      </w:r>
      <w:bookmarkEnd w:id="12"/>
      <w:bookmarkEnd w:id="13"/>
    </w:p>
    <w:p w14:paraId="36059236">
      <w:pPr>
        <w:widowControl/>
        <w:jc w:val="left"/>
        <w:rPr>
          <w:rFonts w:ascii="Times New Roman" w:hAnsi="Times New Roman" w:eastAsia="黑体"/>
          <w:color w:val="auto"/>
          <w:sz w:val="32"/>
          <w:szCs w:val="32"/>
          <w:highlight w:val="none"/>
        </w:rPr>
      </w:pPr>
    </w:p>
    <w:p w14:paraId="5B2C6427">
      <w:pPr>
        <w:pStyle w:val="3"/>
        <w:numPr>
          <w:ilvl w:val="0"/>
          <w:numId w:val="1"/>
        </w:numPr>
        <w:rPr>
          <w:rFonts w:hint="eastAsia" w:ascii="Times New Roman" w:hAnsi="Times New Roman" w:eastAsia="黑体"/>
          <w:b w:val="0"/>
          <w:color w:val="auto"/>
          <w:highlight w:val="none"/>
          <w:lang w:eastAsia="zh-CN"/>
        </w:rPr>
      </w:pPr>
      <w:r>
        <w:rPr>
          <w:rFonts w:hint="eastAsia" w:ascii="Times New Roman" w:hAnsi="Times New Roman" w:eastAsia="黑体"/>
          <w:b w:val="0"/>
          <w:color w:val="auto"/>
          <w:highlight w:val="none"/>
          <w:lang w:eastAsia="zh-CN"/>
        </w:rPr>
        <w:t>部门职责</w:t>
      </w:r>
    </w:p>
    <w:p w14:paraId="41DB154A">
      <w:pPr>
        <w:ind w:firstLine="800" w:firstLineChars="25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此项不阐述</w:t>
      </w:r>
      <w:bookmarkStart w:id="14" w:name="_Toc15396601"/>
      <w:bookmarkStart w:id="15" w:name="_Toc15377200"/>
    </w:p>
    <w:p w14:paraId="2BFE4598">
      <w:pPr>
        <w:pStyle w:val="3"/>
        <w:numPr>
          <w:ilvl w:val="0"/>
          <w:numId w:val="1"/>
        </w:numPr>
        <w:rPr>
          <w:rFonts w:hint="eastAsia" w:ascii="Times New Roman" w:hAnsi="Times New Roman" w:eastAsia="黑体"/>
          <w:b w:val="0"/>
          <w:color w:val="auto"/>
          <w:highlight w:val="none"/>
          <w:lang w:eastAsia="zh-CN"/>
        </w:rPr>
      </w:pPr>
      <w:r>
        <w:rPr>
          <w:rFonts w:hint="eastAsia" w:ascii="Times New Roman" w:hAnsi="Times New Roman" w:eastAsia="黑体"/>
          <w:b w:val="0"/>
          <w:color w:val="auto"/>
          <w:highlight w:val="none"/>
          <w:lang w:eastAsia="zh-CN"/>
        </w:rPr>
        <w:t>机构设置</w:t>
      </w:r>
      <w:bookmarkEnd w:id="14"/>
      <w:bookmarkEnd w:id="15"/>
    </w:p>
    <w:p w14:paraId="7373B11D">
      <w:pPr>
        <w:ind w:firstLine="800" w:firstLineChars="250"/>
        <w:rPr>
          <w:rFonts w:hint="eastAsia" w:ascii="仿宋_GB2312" w:hAnsi="仿宋_GB2312" w:eastAsia="仿宋_GB2312" w:cs="仿宋_GB2312"/>
          <w:color w:val="auto"/>
          <w:sz w:val="32"/>
          <w:szCs w:val="32"/>
          <w:highlight w:val="none"/>
          <w:lang w:val="en-US"/>
        </w:rPr>
      </w:pPr>
      <w:r>
        <w:rPr>
          <w:rFonts w:hint="eastAsia" w:ascii="仿宋_GB2312" w:hAnsi="仿宋_GB2312" w:eastAsia="仿宋_GB2312" w:cs="仿宋_GB2312"/>
          <w:color w:val="auto"/>
          <w:sz w:val="32"/>
          <w:szCs w:val="32"/>
          <w:highlight w:val="none"/>
          <w:lang w:val="en-US" w:eastAsia="zh-CN"/>
        </w:rPr>
        <w:t>泸州市委政法委</w:t>
      </w:r>
      <w:r>
        <w:rPr>
          <w:rFonts w:hint="eastAsia" w:ascii="仿宋_GB2312" w:hAnsi="仿宋_GB2312" w:eastAsia="仿宋_GB2312" w:cs="仿宋_GB2312"/>
          <w:color w:val="auto"/>
          <w:sz w:val="32"/>
          <w:szCs w:val="32"/>
          <w:highlight w:val="none"/>
          <w:lang w:val="en-US"/>
        </w:rPr>
        <w:t>下属二级</w:t>
      </w:r>
      <w:r>
        <w:rPr>
          <w:rFonts w:hint="eastAsia" w:ascii="仿宋_GB2312" w:hAnsi="仿宋_GB2312" w:eastAsia="仿宋_GB2312" w:cs="仿宋_GB2312"/>
          <w:color w:val="auto"/>
          <w:sz w:val="32"/>
          <w:szCs w:val="32"/>
          <w:highlight w:val="none"/>
          <w:lang w:val="en-US" w:eastAsia="zh-CN"/>
        </w:rPr>
        <w:t>预算</w:t>
      </w:r>
      <w:r>
        <w:rPr>
          <w:rFonts w:hint="eastAsia" w:ascii="仿宋_GB2312" w:hAnsi="仿宋_GB2312" w:eastAsia="仿宋_GB2312" w:cs="仿宋_GB2312"/>
          <w:color w:val="auto"/>
          <w:sz w:val="32"/>
          <w:szCs w:val="32"/>
          <w:highlight w:val="none"/>
          <w:lang w:val="en-US"/>
        </w:rPr>
        <w:t>单位</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lang w:val="en-US"/>
        </w:rPr>
        <w:t>个，其中行政单位</w:t>
      </w: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lang w:val="en-US"/>
        </w:rPr>
        <w:t>个，参照公务员法管理的事业单位</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lang w:val="en-US"/>
        </w:rPr>
        <w:t>个，其他事业单位</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lang w:val="en-US"/>
        </w:rPr>
        <w:t>个。</w:t>
      </w:r>
    </w:p>
    <w:p w14:paraId="533C718C">
      <w:pPr>
        <w:ind w:firstLine="800" w:firstLineChars="250"/>
        <w:rPr>
          <w:rFonts w:hint="eastAsia" w:ascii="仿宋" w:hAnsi="仿宋" w:eastAsia="仿宋" w:cs="Times New Roman"/>
          <w:color w:val="auto"/>
          <w:sz w:val="32"/>
          <w:szCs w:val="32"/>
          <w:highlight w:val="none"/>
        </w:rPr>
      </w:pPr>
      <w:r>
        <w:rPr>
          <w:rFonts w:hint="eastAsia" w:ascii="仿宋_GB2312" w:hAnsi="仿宋_GB2312" w:eastAsia="仿宋_GB2312" w:cs="仿宋_GB2312"/>
          <w:color w:val="auto"/>
          <w:sz w:val="32"/>
          <w:szCs w:val="32"/>
          <w:highlight w:val="none"/>
          <w:lang w:val="en-US"/>
        </w:rPr>
        <w:t>纳入</w:t>
      </w:r>
      <w:r>
        <w:rPr>
          <w:rFonts w:hint="eastAsia" w:ascii="仿宋_GB2312" w:hAnsi="仿宋_GB2312" w:eastAsia="仿宋_GB2312" w:cs="仿宋_GB2312"/>
          <w:color w:val="auto"/>
          <w:sz w:val="32"/>
          <w:szCs w:val="32"/>
          <w:highlight w:val="none"/>
          <w:lang w:val="en-US" w:eastAsia="zh-CN"/>
        </w:rPr>
        <w:t>市委</w:t>
      </w:r>
      <w:r>
        <w:rPr>
          <w:rFonts w:hint="eastAsia" w:ascii="仿宋" w:hAnsi="仿宋" w:eastAsia="仿宋" w:cs="Times New Roman"/>
          <w:color w:val="auto"/>
          <w:sz w:val="32"/>
          <w:szCs w:val="32"/>
          <w:highlight w:val="none"/>
          <w:lang w:val="en-US" w:eastAsia="zh-CN"/>
        </w:rPr>
        <w:t>政法委</w:t>
      </w:r>
      <w:r>
        <w:rPr>
          <w:rFonts w:hint="eastAsia" w:ascii="仿宋" w:hAnsi="仿宋" w:eastAsia="仿宋" w:cs="Times New Roman"/>
          <w:color w:val="auto"/>
          <w:sz w:val="32"/>
          <w:szCs w:val="32"/>
          <w:highlight w:val="none"/>
          <w:lang w:eastAsia="zh-CN"/>
        </w:rPr>
        <w:t>202</w:t>
      </w:r>
      <w:r>
        <w:rPr>
          <w:rFonts w:hint="eastAsia" w:ascii="仿宋" w:hAnsi="仿宋" w:eastAsia="仿宋" w:cs="Times New Roman"/>
          <w:color w:val="auto"/>
          <w:sz w:val="32"/>
          <w:szCs w:val="32"/>
          <w:highlight w:val="none"/>
          <w:lang w:val="en-US" w:eastAsia="zh-CN"/>
        </w:rPr>
        <w:t>4</w:t>
      </w:r>
      <w:r>
        <w:rPr>
          <w:rFonts w:hint="eastAsia" w:ascii="仿宋" w:hAnsi="仿宋" w:eastAsia="仿宋" w:cs="Times New Roman"/>
          <w:color w:val="auto"/>
          <w:sz w:val="32"/>
          <w:szCs w:val="32"/>
          <w:highlight w:val="none"/>
        </w:rPr>
        <w:t>年度部门决算编制范围的二级预算单位包括：</w:t>
      </w:r>
    </w:p>
    <w:p w14:paraId="56DB3083">
      <w:pPr>
        <w:suppressAutoHyphens/>
        <w:bidi w:val="0"/>
        <w:ind w:firstLine="800" w:firstLineChars="250"/>
        <w:rPr>
          <w:rFonts w:hint="eastAsia"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lang w:val="en-US" w:eastAsia="zh-CN"/>
        </w:rPr>
        <w:t>1.泸州市委政法委机关</w:t>
      </w:r>
    </w:p>
    <w:p w14:paraId="231CC010">
      <w:pPr>
        <w:suppressAutoHyphens/>
        <w:bidi w:val="0"/>
        <w:ind w:firstLine="800" w:firstLineChars="250"/>
        <w:rPr>
          <w:rFonts w:hint="eastAsia"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lang w:val="en-US" w:eastAsia="zh-CN"/>
        </w:rPr>
        <w:t>2.泸州市综治工作中心</w:t>
      </w:r>
    </w:p>
    <w:p w14:paraId="2C8BA3FE">
      <w:pPr>
        <w:widowControl/>
        <w:jc w:val="left"/>
        <w:rPr>
          <w:rFonts w:ascii="Times New Roman" w:hAnsi="Times New Roman" w:eastAsia="仿宋"/>
          <w:color w:val="auto"/>
          <w:kern w:val="0"/>
          <w:sz w:val="32"/>
          <w:szCs w:val="32"/>
          <w:highlight w:val="none"/>
        </w:rPr>
      </w:pPr>
      <w:r>
        <w:rPr>
          <w:rFonts w:ascii="Times New Roman" w:hAnsi="Times New Roman" w:eastAsia="仿宋"/>
          <w:color w:val="auto"/>
          <w:sz w:val="32"/>
          <w:szCs w:val="32"/>
          <w:highlight w:val="none"/>
        </w:rPr>
        <w:br w:type="page"/>
      </w:r>
    </w:p>
    <w:p w14:paraId="6F9E05F1">
      <w:pPr>
        <w:pStyle w:val="2"/>
        <w:jc w:val="center"/>
        <w:rPr>
          <w:rFonts w:ascii="Times New Roman" w:hAnsi="Times New Roman"/>
          <w:color w:val="auto"/>
          <w:highlight w:val="none"/>
        </w:rPr>
      </w:pPr>
      <w:bookmarkStart w:id="16" w:name="_Toc15396602"/>
      <w:bookmarkStart w:id="17" w:name="_Toc15377204"/>
      <w:r>
        <w:rPr>
          <w:rFonts w:hint="eastAsia" w:ascii="Times New Roman" w:hAnsi="Times New Roman" w:eastAsia="方正小标宋简体" w:cs="方正小标宋简体"/>
          <w:b w:val="0"/>
          <w:color w:val="auto"/>
          <w:highlight w:val="none"/>
        </w:rPr>
        <w:t>第二部分</w:t>
      </w:r>
      <w:r>
        <w:rPr>
          <w:rFonts w:hint="eastAsia" w:ascii="Times New Roman" w:hAnsi="Times New Roman" w:eastAsia="方正小标宋简体" w:cs="方正小标宋简体"/>
          <w:b w:val="0"/>
          <w:color w:val="auto"/>
          <w:highlight w:val="none"/>
          <w:lang w:val="en-US" w:eastAsia="zh-CN"/>
        </w:rPr>
        <w:t xml:space="preserve"> </w:t>
      </w:r>
      <w:r>
        <w:rPr>
          <w:rFonts w:hint="eastAsia" w:ascii="Times New Roman" w:hAnsi="Times New Roman" w:eastAsia="方正小标宋简体" w:cs="方正小标宋简体"/>
          <w:b w:val="0"/>
          <w:color w:val="auto"/>
          <w:highlight w:val="none"/>
        </w:rPr>
        <w:t xml:space="preserve"> </w:t>
      </w:r>
      <w:r>
        <w:rPr>
          <w:rFonts w:hint="eastAsia" w:ascii="Times New Roman" w:hAnsi="Times New Roman" w:eastAsia="方正小标宋简体" w:cs="方正小标宋简体"/>
          <w:b w:val="0"/>
          <w:color w:val="auto"/>
          <w:highlight w:val="none"/>
          <w:lang w:val="en-US" w:eastAsia="zh-CN"/>
        </w:rPr>
        <w:t>2024年度</w:t>
      </w:r>
      <w:r>
        <w:rPr>
          <w:rFonts w:hint="eastAsia" w:ascii="Times New Roman" w:hAnsi="Times New Roman" w:eastAsia="方正小标宋简体" w:cs="方正小标宋简体"/>
          <w:b w:val="0"/>
          <w:color w:val="auto"/>
          <w:highlight w:val="none"/>
        </w:rPr>
        <w:t>部门决算情况说明</w:t>
      </w:r>
      <w:bookmarkEnd w:id="16"/>
      <w:bookmarkEnd w:id="17"/>
    </w:p>
    <w:p w14:paraId="19208C78">
      <w:pPr>
        <w:pStyle w:val="27"/>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outlineLvl w:val="1"/>
        <w:rPr>
          <w:rStyle w:val="29"/>
          <w:rFonts w:hint="eastAsia" w:ascii="Times New Roman" w:hAnsi="Times New Roman" w:eastAsia="黑体"/>
          <w:b w:val="0"/>
          <w:color w:val="auto"/>
          <w:highlight w:val="none"/>
        </w:rPr>
      </w:pPr>
      <w:bookmarkStart w:id="18" w:name="_Toc15396603"/>
      <w:bookmarkStart w:id="19" w:name="_Toc15377205"/>
      <w:r>
        <w:rPr>
          <w:rFonts w:hint="eastAsia" w:ascii="Times New Roman" w:hAnsi="Times New Roman" w:eastAsia="黑体"/>
          <w:color w:val="auto"/>
          <w:sz w:val="32"/>
          <w:szCs w:val="32"/>
          <w:highlight w:val="none"/>
          <w:lang w:eastAsia="zh-CN"/>
        </w:rPr>
        <w:t>一、</w:t>
      </w:r>
      <w:r>
        <w:rPr>
          <w:rFonts w:hint="eastAsia" w:ascii="Times New Roman" w:hAnsi="Times New Roman" w:eastAsia="黑体"/>
          <w:color w:val="auto"/>
          <w:sz w:val="32"/>
          <w:szCs w:val="32"/>
          <w:highlight w:val="none"/>
        </w:rPr>
        <w:t>收</w:t>
      </w:r>
      <w:r>
        <w:rPr>
          <w:rStyle w:val="29"/>
          <w:rFonts w:hint="eastAsia" w:ascii="Times New Roman" w:hAnsi="Times New Roman" w:eastAsia="黑体"/>
          <w:b w:val="0"/>
          <w:color w:val="auto"/>
          <w:highlight w:val="none"/>
        </w:rPr>
        <w:t>入支出决算总体情况说明</w:t>
      </w:r>
      <w:bookmarkEnd w:id="18"/>
      <w:bookmarkEnd w:id="19"/>
    </w:p>
    <w:p w14:paraId="3365DCB6">
      <w:pPr>
        <w:pStyle w:val="27"/>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outlineLvl w:val="1"/>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lang w:eastAsia="zh-CN"/>
        </w:rPr>
        <w:t>2024年度收入</w:t>
      </w:r>
      <w:r>
        <w:rPr>
          <w:rFonts w:hint="eastAsia" w:ascii="Times New Roman" w:hAnsi="Times New Roman" w:eastAsia="仿宋_GB2312" w:cs="仿宋_GB2312"/>
          <w:color w:val="auto"/>
          <w:sz w:val="32"/>
          <w:szCs w:val="32"/>
          <w:highlight w:val="none"/>
        </w:rPr>
        <w:t>、</w:t>
      </w:r>
      <w:r>
        <w:rPr>
          <w:rFonts w:hint="eastAsia" w:ascii="Times New Roman" w:hAnsi="Times New Roman" w:eastAsia="仿宋_GB2312" w:cs="仿宋_GB2312"/>
          <w:color w:val="auto"/>
          <w:sz w:val="32"/>
          <w:szCs w:val="32"/>
          <w:highlight w:val="none"/>
          <w:lang w:eastAsia="zh-CN"/>
        </w:rPr>
        <w:t>支出</w:t>
      </w:r>
      <w:r>
        <w:rPr>
          <w:rFonts w:hint="eastAsia" w:ascii="Times New Roman" w:hAnsi="Times New Roman" w:eastAsia="仿宋_GB2312" w:cs="仿宋_GB2312"/>
          <w:color w:val="auto"/>
          <w:sz w:val="32"/>
          <w:szCs w:val="32"/>
          <w:highlight w:val="none"/>
        </w:rPr>
        <w:t>总计</w:t>
      </w:r>
      <w:r>
        <w:rPr>
          <w:rFonts w:hint="eastAsia" w:ascii="Times New Roman" w:hAnsi="Times New Roman" w:eastAsia="仿宋_GB2312" w:cs="仿宋_GB2312"/>
          <w:color w:val="auto"/>
          <w:sz w:val="32"/>
          <w:szCs w:val="32"/>
          <w:highlight w:val="none"/>
          <w:lang w:eastAsia="zh-CN"/>
        </w:rPr>
        <w:t>均为</w:t>
      </w:r>
      <w:r>
        <w:rPr>
          <w:rFonts w:hint="eastAsia" w:ascii="仿宋_GB2312" w:hAnsi="仿宋_GB2312" w:eastAsia="仿宋_GB2312" w:cs="仿宋_GB2312"/>
          <w:sz w:val="32"/>
          <w:szCs w:val="32"/>
          <w:lang w:val="en-US" w:eastAsia="zh-CN"/>
        </w:rPr>
        <w:t>2254.91</w:t>
      </w:r>
      <w:r>
        <w:rPr>
          <w:rFonts w:hint="eastAsia" w:ascii="Times New Roman" w:hAnsi="Times New Roman" w:eastAsia="仿宋_GB2312" w:cs="仿宋_GB2312"/>
          <w:color w:val="auto"/>
          <w:sz w:val="32"/>
          <w:szCs w:val="32"/>
          <w:highlight w:val="none"/>
        </w:rPr>
        <w:t>万元。与</w:t>
      </w:r>
      <w:r>
        <w:rPr>
          <w:rFonts w:hint="eastAsia" w:ascii="Times New Roman" w:hAnsi="Times New Roman" w:eastAsia="仿宋_GB2312" w:cs="仿宋_GB2312"/>
          <w:color w:val="auto"/>
          <w:sz w:val="32"/>
          <w:szCs w:val="32"/>
          <w:highlight w:val="none"/>
          <w:lang w:eastAsia="zh-CN"/>
        </w:rPr>
        <w:t>202</w:t>
      </w:r>
      <w:r>
        <w:rPr>
          <w:rFonts w:hint="eastAsia" w:ascii="Times New Roman" w:hAnsi="Times New Roman" w:eastAsia="仿宋_GB2312" w:cs="仿宋_GB2312"/>
          <w:color w:val="auto"/>
          <w:sz w:val="32"/>
          <w:szCs w:val="32"/>
          <w:highlight w:val="none"/>
          <w:lang w:val="en-US" w:eastAsia="zh-CN"/>
        </w:rPr>
        <w:t>3</w:t>
      </w:r>
      <w:r>
        <w:rPr>
          <w:rFonts w:hint="eastAsia" w:ascii="Times New Roman" w:hAnsi="Times New Roman" w:eastAsia="仿宋_GB2312" w:cs="仿宋_GB2312"/>
          <w:color w:val="auto"/>
          <w:sz w:val="32"/>
          <w:szCs w:val="32"/>
          <w:highlight w:val="none"/>
        </w:rPr>
        <w:t>年</w:t>
      </w:r>
      <w:r>
        <w:rPr>
          <w:rFonts w:hint="eastAsia" w:ascii="Times New Roman" w:hAnsi="Times New Roman" w:eastAsia="仿宋_GB2312" w:cs="仿宋_GB2312"/>
          <w:color w:val="auto"/>
          <w:sz w:val="32"/>
          <w:szCs w:val="32"/>
          <w:highlight w:val="none"/>
          <w:lang w:eastAsia="zh-CN"/>
        </w:rPr>
        <w:t>度</w:t>
      </w:r>
      <w:r>
        <w:rPr>
          <w:rFonts w:hint="eastAsia" w:ascii="Times New Roman" w:hAnsi="Times New Roman" w:eastAsia="仿宋_GB2312" w:cs="仿宋_GB2312"/>
          <w:color w:val="auto"/>
          <w:sz w:val="32"/>
          <w:szCs w:val="32"/>
          <w:highlight w:val="none"/>
        </w:rPr>
        <w:t>相比，</w:t>
      </w:r>
      <w:r>
        <w:rPr>
          <w:rFonts w:hint="eastAsia" w:ascii="Times New Roman" w:hAnsi="Times New Roman" w:eastAsia="仿宋_GB2312" w:cs="仿宋_GB2312"/>
          <w:color w:val="auto"/>
          <w:sz w:val="32"/>
          <w:szCs w:val="32"/>
          <w:highlight w:val="none"/>
          <w:lang w:eastAsia="zh-CN"/>
        </w:rPr>
        <w:t>收入</w:t>
      </w:r>
      <w:r>
        <w:rPr>
          <w:rFonts w:hint="eastAsia" w:ascii="Times New Roman" w:hAnsi="Times New Roman" w:eastAsia="仿宋_GB2312" w:cs="仿宋_GB2312"/>
          <w:color w:val="auto"/>
          <w:sz w:val="32"/>
          <w:szCs w:val="32"/>
          <w:highlight w:val="none"/>
        </w:rPr>
        <w:t>、</w:t>
      </w:r>
      <w:r>
        <w:rPr>
          <w:rFonts w:hint="eastAsia" w:ascii="Times New Roman" w:hAnsi="Times New Roman" w:eastAsia="仿宋_GB2312" w:cs="仿宋_GB2312"/>
          <w:color w:val="auto"/>
          <w:sz w:val="32"/>
          <w:szCs w:val="32"/>
          <w:highlight w:val="none"/>
          <w:lang w:eastAsia="zh-CN"/>
        </w:rPr>
        <w:t>支出</w:t>
      </w:r>
      <w:r>
        <w:rPr>
          <w:rFonts w:hint="eastAsia" w:ascii="Times New Roman" w:hAnsi="Times New Roman" w:eastAsia="仿宋_GB2312" w:cs="仿宋_GB2312"/>
          <w:color w:val="auto"/>
          <w:sz w:val="32"/>
          <w:szCs w:val="32"/>
          <w:highlight w:val="none"/>
        </w:rPr>
        <w:t>总计各减少</w:t>
      </w:r>
      <w:r>
        <w:rPr>
          <w:rFonts w:hint="eastAsia" w:eastAsia="仿宋_GB2312" w:cs="仿宋_GB2312"/>
          <w:color w:val="auto"/>
          <w:sz w:val="32"/>
          <w:szCs w:val="32"/>
          <w:highlight w:val="none"/>
          <w:lang w:val="en-US" w:eastAsia="zh-CN"/>
        </w:rPr>
        <w:t>395.69</w:t>
      </w:r>
      <w:r>
        <w:rPr>
          <w:rFonts w:hint="eastAsia" w:ascii="Times New Roman" w:hAnsi="Times New Roman" w:eastAsia="仿宋_GB2312" w:cs="仿宋_GB2312"/>
          <w:color w:val="auto"/>
          <w:sz w:val="32"/>
          <w:szCs w:val="32"/>
          <w:highlight w:val="none"/>
        </w:rPr>
        <w:t>万元，下降</w:t>
      </w:r>
      <w:r>
        <w:rPr>
          <w:rFonts w:hint="eastAsia" w:eastAsia="仿宋_GB2312" w:cs="仿宋_GB2312"/>
          <w:color w:val="auto"/>
          <w:sz w:val="32"/>
          <w:szCs w:val="32"/>
          <w:highlight w:val="none"/>
          <w:lang w:val="en-US" w:eastAsia="zh-CN"/>
        </w:rPr>
        <w:t>15</w:t>
      </w:r>
      <w:r>
        <w:rPr>
          <w:rFonts w:hint="eastAsia" w:ascii="Times New Roman" w:hAnsi="Times New Roman" w:eastAsia="仿宋_GB2312" w:cs="仿宋_GB2312"/>
          <w:color w:val="auto"/>
          <w:sz w:val="32"/>
          <w:szCs w:val="32"/>
          <w:highlight w:val="none"/>
        </w:rPr>
        <w:t>%。主要变动原因是2023年市公共安全视频监控联网应用项目已完工支付，2024年无该项目收、支款项。</w:t>
      </w:r>
    </w:p>
    <w:p w14:paraId="634351A1">
      <w:pPr>
        <w:keepNext w:val="0"/>
        <w:keepLines w:val="0"/>
        <w:widowControl w:val="0"/>
        <w:suppressLineNumbers w:val="0"/>
        <w:spacing w:before="0" w:beforeAutospacing="0" w:after="0" w:afterAutospacing="0"/>
        <w:ind w:left="0" w:right="0"/>
        <w:jc w:val="both"/>
      </w:pPr>
      <w:r>
        <w:rPr>
          <w:rFonts w:hint="eastAsia" w:ascii="Times New Roman" w:hAnsi="Times New Roman" w:eastAsia="仿宋_GB2312" w:cs="仿宋_GB2312"/>
          <w:color w:val="auto"/>
          <w:sz w:val="32"/>
          <w:szCs w:val="32"/>
          <w:highlight w:val="none"/>
          <w:lang w:eastAsia="zh-CN"/>
        </w:rPr>
        <w:fldChar w:fldCharType="begin"/>
      </w:r>
      <w:r>
        <w:instrText xml:space="preserve"> LINK Word.Document.8 "C:\\Users\\Administrator\\Desktop\\-税改决算公开-2023年度部门决算分析报告（市委政法委）.doc" "OLE_LINK1" \h \a </w:instrText>
      </w:r>
      <w:r>
        <w:rPr>
          <w:rFonts w:hint="eastAsia" w:ascii="Times New Roman" w:hAnsi="Times New Roman" w:eastAsia="仿宋_GB2312" w:cs="仿宋_GB2312"/>
          <w:color w:val="auto"/>
          <w:sz w:val="32"/>
          <w:szCs w:val="32"/>
          <w:highlight w:val="none"/>
          <w:lang w:eastAsia="zh-CN"/>
        </w:rPr>
        <w:fldChar w:fldCharType="separate"/>
      </w:r>
      <w:bookmarkStart w:id="20" w:name="OLE_LINK1"/>
      <w:bookmarkEnd w:id="20"/>
      <w:r>
        <w:rPr>
          <w:rFonts w:hint="default" w:ascii="Times New Roman" w:hAnsi="Times New Roman" w:eastAsia="宋体" w:cs="Times New Roman"/>
          <w:kern w:val="2"/>
          <w:sz w:val="21"/>
          <w:szCs w:val="21"/>
          <w:lang w:val="en-US" w:eastAsia="zh-CN" w:bidi="ar"/>
        </w:rPr>
        <w:drawing>
          <wp:inline distT="0" distB="0" distL="114300" distR="114300">
            <wp:extent cx="5391150" cy="4152900"/>
            <wp:effectExtent l="0" t="0" r="0" b="0"/>
            <wp:docPr id="9" name="图片 4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4" descr="IMG_256"/>
                    <pic:cNvPicPr>
                      <a:picLocks noChangeAspect="1"/>
                    </pic:cNvPicPr>
                  </pic:nvPicPr>
                  <pic:blipFill>
                    <a:blip r:embed="rId13"/>
                    <a:stretch>
                      <a:fillRect/>
                    </a:stretch>
                  </pic:blipFill>
                  <pic:spPr>
                    <a:xfrm>
                      <a:off x="0" y="0"/>
                      <a:ext cx="5400675" cy="3829050"/>
                    </a:xfrm>
                    <a:prstGeom prst="rect">
                      <a:avLst/>
                    </a:prstGeom>
                    <a:noFill/>
                    <a:ln w="9525">
                      <a:noFill/>
                    </a:ln>
                  </pic:spPr>
                </pic:pic>
              </a:graphicData>
            </a:graphic>
          </wp:inline>
        </w:drawing>
      </w:r>
    </w:p>
    <w:p w14:paraId="44965379">
      <w:pPr>
        <w:pStyle w:val="27"/>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outlineLvl w:val="1"/>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lang w:eastAsia="zh-CN"/>
        </w:rPr>
        <w:fldChar w:fldCharType="end"/>
      </w:r>
      <w:r>
        <w:rPr>
          <w:rFonts w:hint="eastAsia" w:eastAsia="仿宋_GB2312" w:cs="仿宋_GB2312"/>
          <w:color w:val="auto"/>
          <w:sz w:val="32"/>
          <w:szCs w:val="32"/>
          <w:highlight w:val="none"/>
          <w:lang w:val="en-US" w:eastAsia="zh-CN"/>
        </w:rPr>
        <w:t xml:space="preserve">  </w:t>
      </w:r>
      <w:r>
        <w:rPr>
          <w:rFonts w:hint="eastAsia" w:ascii="Times New Roman" w:hAnsi="Times New Roman" w:eastAsia="仿宋_GB2312" w:cs="仿宋_GB2312"/>
          <w:color w:val="auto"/>
          <w:sz w:val="32"/>
          <w:szCs w:val="32"/>
          <w:highlight w:val="none"/>
        </w:rPr>
        <w:t>（图1：</w:t>
      </w:r>
      <w:r>
        <w:rPr>
          <w:rFonts w:hint="eastAsia" w:ascii="Times New Roman" w:hAnsi="Times New Roman" w:eastAsia="仿宋_GB2312" w:cs="仿宋_GB2312"/>
          <w:color w:val="auto"/>
          <w:sz w:val="32"/>
          <w:szCs w:val="32"/>
          <w:highlight w:val="none"/>
          <w:lang w:eastAsia="zh-CN"/>
        </w:rPr>
        <w:t>收入</w:t>
      </w:r>
      <w:r>
        <w:rPr>
          <w:rFonts w:hint="eastAsia" w:ascii="Times New Roman" w:hAnsi="Times New Roman" w:eastAsia="仿宋_GB2312" w:cs="仿宋_GB2312"/>
          <w:color w:val="auto"/>
          <w:sz w:val="32"/>
          <w:szCs w:val="32"/>
          <w:highlight w:val="none"/>
        </w:rPr>
        <w:t>、</w:t>
      </w:r>
      <w:r>
        <w:rPr>
          <w:rFonts w:hint="eastAsia" w:ascii="Times New Roman" w:hAnsi="Times New Roman" w:eastAsia="仿宋_GB2312" w:cs="仿宋_GB2312"/>
          <w:color w:val="auto"/>
          <w:sz w:val="32"/>
          <w:szCs w:val="32"/>
          <w:highlight w:val="none"/>
          <w:lang w:eastAsia="zh-CN"/>
        </w:rPr>
        <w:t>支出</w:t>
      </w:r>
      <w:r>
        <w:rPr>
          <w:rFonts w:hint="eastAsia" w:ascii="Times New Roman" w:hAnsi="Times New Roman" w:eastAsia="仿宋_GB2312" w:cs="仿宋_GB2312"/>
          <w:color w:val="auto"/>
          <w:sz w:val="32"/>
          <w:szCs w:val="32"/>
          <w:highlight w:val="none"/>
        </w:rPr>
        <w:t>决算总计变动情况图）（柱状图）</w:t>
      </w:r>
    </w:p>
    <w:p w14:paraId="342D132A">
      <w:pPr>
        <w:pStyle w:val="27"/>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outlineLvl w:val="1"/>
        <w:rPr>
          <w:rFonts w:hint="eastAsia" w:ascii="Times New Roman" w:hAnsi="Times New Roman" w:eastAsia="黑体"/>
          <w:color w:val="auto"/>
          <w:sz w:val="32"/>
          <w:szCs w:val="32"/>
          <w:highlight w:val="none"/>
          <w:lang w:eastAsia="zh-CN"/>
        </w:rPr>
      </w:pPr>
      <w:bookmarkStart w:id="21" w:name="_Toc15396604"/>
      <w:bookmarkStart w:id="22" w:name="_Toc15377206"/>
      <w:r>
        <w:rPr>
          <w:rFonts w:hint="eastAsia" w:ascii="Times New Roman" w:hAnsi="Times New Roman" w:eastAsia="黑体"/>
          <w:color w:val="auto"/>
          <w:sz w:val="32"/>
          <w:szCs w:val="32"/>
          <w:highlight w:val="none"/>
          <w:lang w:eastAsia="zh-CN"/>
        </w:rPr>
        <w:t>二、收入决算情况说明</w:t>
      </w:r>
      <w:bookmarkEnd w:id="21"/>
      <w:bookmarkEnd w:id="22"/>
    </w:p>
    <w:p w14:paraId="38F143EE">
      <w:pPr>
        <w:pStyle w:val="27"/>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outlineLvl w:val="1"/>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2024年度本年收入合计</w:t>
      </w:r>
      <w:r>
        <w:rPr>
          <w:rFonts w:hint="eastAsia" w:ascii="仿宋_GB2312" w:hAnsi="仿宋_GB2312" w:eastAsia="仿宋_GB2312" w:cs="仿宋_GB2312"/>
          <w:sz w:val="32"/>
          <w:szCs w:val="32"/>
          <w:lang w:val="en-US" w:eastAsia="zh-CN"/>
        </w:rPr>
        <w:t>2254.91</w:t>
      </w:r>
      <w:r>
        <w:rPr>
          <w:rFonts w:hint="eastAsia" w:ascii="仿宋_GB2312" w:hAnsi="仿宋_GB2312" w:eastAsia="仿宋_GB2312" w:cs="仿宋_GB2312"/>
          <w:sz w:val="32"/>
          <w:szCs w:val="32"/>
        </w:rPr>
        <w:t>万元，其中：一般公共预算财政拨款收入</w:t>
      </w:r>
      <w:r>
        <w:rPr>
          <w:rFonts w:hint="eastAsia" w:ascii="仿宋_GB2312" w:hAnsi="仿宋_GB2312" w:eastAsia="仿宋_GB2312" w:cs="仿宋_GB2312"/>
          <w:sz w:val="32"/>
          <w:szCs w:val="32"/>
          <w:lang w:val="en-US" w:eastAsia="zh-CN"/>
        </w:rPr>
        <w:t>2254.91</w:t>
      </w:r>
      <w:r>
        <w:rPr>
          <w:rFonts w:hint="eastAsia" w:ascii="仿宋_GB2312" w:hAnsi="仿宋_GB2312" w:eastAsia="仿宋_GB2312" w:cs="仿宋_GB2312"/>
          <w:color w:val="auto"/>
          <w:sz w:val="32"/>
          <w:szCs w:val="32"/>
          <w:highlight w:val="none"/>
          <w:lang w:eastAsia="zh-CN"/>
        </w:rPr>
        <w:t>万元，占</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color w:val="auto"/>
          <w:sz w:val="32"/>
          <w:szCs w:val="32"/>
          <w:highlight w:val="none"/>
          <w:lang w:eastAsia="zh-CN"/>
        </w:rPr>
        <w:t>%。</w:t>
      </w:r>
    </w:p>
    <w:p w14:paraId="6CFBF97A">
      <w:pPr>
        <w:pStyle w:val="27"/>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outlineLvl w:val="1"/>
        <w:rPr>
          <w:rFonts w:hint="eastAsia" w:ascii="仿宋_GB2312" w:hAnsi="仿宋_GB2312" w:eastAsia="仿宋_GB2312" w:cs="仿宋_GB2312"/>
          <w:color w:val="auto"/>
          <w:sz w:val="32"/>
          <w:szCs w:val="32"/>
          <w:highlight w:val="none"/>
          <w:lang w:eastAsia="zh-CN"/>
        </w:rPr>
      </w:pPr>
    </w:p>
    <w:p w14:paraId="70C00885">
      <w:pPr>
        <w:pStyle w:val="7"/>
        <w:rPr>
          <w:rFonts w:hint="eastAsia" w:ascii="Times New Roman" w:hAnsi="Times New Roman" w:eastAsia="仿宋_GB2312" w:cs="仿宋_GB2312"/>
          <w:color w:val="auto"/>
          <w:sz w:val="32"/>
          <w:szCs w:val="32"/>
          <w:highlight w:val="none"/>
          <w:lang w:eastAsia="zh-CN"/>
        </w:rPr>
      </w:pPr>
      <w:r>
        <w:object>
          <v:shape id="_x0000_i1025" o:spt="75" type="#_x0000_t75" style="height:212.2pt;width:375.45pt;" o:ole="t" filled="f" o:preferrelative="t" stroked="f" coordsize="21600,21600" o:gfxdata="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">
            <v:path/>
            <v:fill on="f" focussize="0,0"/>
            <v:stroke on="f"/>
            <v:imagedata r:id="rId15" o:title=""/>
            <o:lock v:ext="edit" aspectratio="t"/>
            <w10:wrap type="none"/>
            <w10:anchorlock/>
          </v:shape>
          <o:OLEObject Type="Embed" ProgID="excel.sheet.8" ShapeID="_x0000_i1025" DrawAspect="Content" ObjectID="_1468075725" r:id="rId14">
            <o:LockedField>false</o:LockedField>
          </o:OLEObject>
        </w:object>
      </w:r>
      <w:r>
        <w:rPr>
          <w:rFonts w:hint="eastAsia"/>
          <w:lang w:val="en-US" w:eastAsia="zh-CN"/>
        </w:rPr>
        <w:t xml:space="preserve">      </w:t>
      </w:r>
      <w:r>
        <w:rPr>
          <w:rFonts w:hint="eastAsia" w:ascii="Times New Roman" w:hAnsi="Times New Roman" w:eastAsia="仿宋_GB2312" w:cs="仿宋_GB2312"/>
          <w:color w:val="auto"/>
          <w:sz w:val="32"/>
          <w:szCs w:val="32"/>
          <w:highlight w:val="none"/>
          <w:lang w:eastAsia="zh-CN"/>
        </w:rPr>
        <w:t>（图2：收入决算结构图）（饼状图）</w:t>
      </w:r>
    </w:p>
    <w:p w14:paraId="768803B8">
      <w:pPr>
        <w:pStyle w:val="27"/>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outlineLvl w:val="1"/>
        <w:rPr>
          <w:rStyle w:val="29"/>
          <w:rFonts w:hint="eastAsia" w:ascii="Times New Roman" w:hAnsi="Times New Roman" w:eastAsia="黑体"/>
          <w:b w:val="0"/>
          <w:color w:val="auto"/>
          <w:highlight w:val="none"/>
        </w:rPr>
      </w:pPr>
      <w:bookmarkStart w:id="23" w:name="_Toc15377207"/>
      <w:bookmarkStart w:id="24" w:name="_Toc15396605"/>
      <w:r>
        <w:rPr>
          <w:rFonts w:hint="eastAsia" w:ascii="Times New Roman" w:hAnsi="Times New Roman" w:eastAsia="黑体"/>
          <w:color w:val="auto"/>
          <w:sz w:val="32"/>
          <w:szCs w:val="32"/>
          <w:highlight w:val="none"/>
          <w:lang w:eastAsia="zh-CN"/>
        </w:rPr>
        <w:t>三、</w:t>
      </w:r>
      <w:r>
        <w:rPr>
          <w:rFonts w:hint="eastAsia" w:ascii="Times New Roman" w:hAnsi="Times New Roman" w:eastAsia="黑体"/>
          <w:color w:val="auto"/>
          <w:sz w:val="32"/>
          <w:szCs w:val="32"/>
          <w:highlight w:val="none"/>
        </w:rPr>
        <w:t>支</w:t>
      </w:r>
      <w:r>
        <w:rPr>
          <w:rStyle w:val="29"/>
          <w:rFonts w:hint="eastAsia" w:ascii="Times New Roman" w:hAnsi="Times New Roman" w:eastAsia="黑体"/>
          <w:b w:val="0"/>
          <w:color w:val="auto"/>
          <w:highlight w:val="none"/>
        </w:rPr>
        <w:t>出决算情况说明</w:t>
      </w:r>
      <w:bookmarkEnd w:id="23"/>
      <w:bookmarkEnd w:id="24"/>
    </w:p>
    <w:p w14:paraId="32BE2EEA">
      <w:pPr>
        <w:pStyle w:val="27"/>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outlineLvl w:val="1"/>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2024年度本年支出合计</w:t>
      </w:r>
      <w:r>
        <w:rPr>
          <w:rFonts w:hint="eastAsia" w:ascii="仿宋_GB2312" w:hAnsi="仿宋_GB2312" w:eastAsia="仿宋_GB2312" w:cs="仿宋_GB2312"/>
          <w:sz w:val="32"/>
          <w:szCs w:val="32"/>
          <w:lang w:val="en-US" w:eastAsia="zh-CN"/>
        </w:rPr>
        <w:t>2254.91</w:t>
      </w:r>
      <w:r>
        <w:rPr>
          <w:rFonts w:hint="eastAsia" w:ascii="仿宋_GB2312" w:hAnsi="仿宋_GB2312" w:eastAsia="仿宋_GB2312" w:cs="仿宋_GB2312"/>
          <w:color w:val="auto"/>
          <w:sz w:val="32"/>
          <w:szCs w:val="32"/>
          <w:highlight w:val="none"/>
          <w:lang w:eastAsia="zh-CN"/>
        </w:rPr>
        <w:t>万元，其中：基本支出</w:t>
      </w:r>
      <w:r>
        <w:rPr>
          <w:rFonts w:hint="eastAsia" w:ascii="仿宋_GB2312" w:hAnsi="仿宋_GB2312" w:eastAsia="仿宋_GB2312" w:cs="仿宋_GB2312"/>
          <w:sz w:val="32"/>
          <w:szCs w:val="32"/>
          <w:lang w:val="en-US" w:eastAsia="zh-CN"/>
        </w:rPr>
        <w:t>1626.35</w:t>
      </w:r>
      <w:r>
        <w:rPr>
          <w:rFonts w:hint="eastAsia" w:ascii="仿宋_GB2312" w:hAnsi="仿宋_GB2312" w:eastAsia="仿宋_GB2312" w:cs="仿宋_GB2312"/>
          <w:color w:val="auto"/>
          <w:sz w:val="32"/>
          <w:szCs w:val="32"/>
          <w:highlight w:val="none"/>
          <w:lang w:eastAsia="zh-CN"/>
        </w:rPr>
        <w:t>万元，占</w:t>
      </w:r>
      <w:r>
        <w:rPr>
          <w:rFonts w:hint="eastAsia" w:ascii="仿宋_GB2312" w:hAnsi="仿宋_GB2312" w:eastAsia="仿宋_GB2312" w:cs="仿宋_GB2312"/>
          <w:sz w:val="32"/>
          <w:szCs w:val="32"/>
          <w:lang w:val="en-US" w:eastAsia="zh-CN"/>
        </w:rPr>
        <w:t>72</w:t>
      </w:r>
      <w:r>
        <w:rPr>
          <w:rFonts w:hint="eastAsia" w:ascii="仿宋_GB2312" w:hAnsi="仿宋_GB2312" w:eastAsia="仿宋_GB2312" w:cs="仿宋_GB2312"/>
          <w:color w:val="auto"/>
          <w:sz w:val="32"/>
          <w:szCs w:val="32"/>
          <w:highlight w:val="none"/>
          <w:lang w:eastAsia="zh-CN"/>
        </w:rPr>
        <w:t>%；项目支出</w:t>
      </w:r>
      <w:r>
        <w:rPr>
          <w:rFonts w:hint="eastAsia" w:ascii="仿宋_GB2312" w:hAnsi="仿宋_GB2312" w:eastAsia="仿宋_GB2312" w:cs="仿宋_GB2312"/>
          <w:sz w:val="32"/>
          <w:szCs w:val="32"/>
          <w:lang w:val="en-US" w:eastAsia="zh-CN"/>
        </w:rPr>
        <w:t>628.56</w:t>
      </w:r>
      <w:r>
        <w:rPr>
          <w:rFonts w:hint="eastAsia" w:ascii="仿宋_GB2312" w:hAnsi="仿宋_GB2312" w:eastAsia="仿宋_GB2312" w:cs="仿宋_GB2312"/>
          <w:color w:val="auto"/>
          <w:sz w:val="32"/>
          <w:szCs w:val="32"/>
          <w:highlight w:val="none"/>
          <w:lang w:eastAsia="zh-CN"/>
        </w:rPr>
        <w:t>万元，占</w:t>
      </w:r>
      <w:r>
        <w:rPr>
          <w:rFonts w:hint="eastAsia" w:ascii="仿宋_GB2312" w:hAnsi="仿宋_GB2312" w:eastAsia="仿宋_GB2312" w:cs="仿宋_GB2312"/>
          <w:sz w:val="32"/>
          <w:szCs w:val="32"/>
          <w:lang w:val="en-US" w:eastAsia="zh-CN"/>
        </w:rPr>
        <w:t>28</w:t>
      </w:r>
      <w:r>
        <w:rPr>
          <w:rFonts w:hint="eastAsia" w:ascii="仿宋_GB2312" w:hAnsi="仿宋_GB2312" w:eastAsia="仿宋_GB2312" w:cs="仿宋_GB2312"/>
          <w:color w:val="auto"/>
          <w:sz w:val="32"/>
          <w:szCs w:val="32"/>
          <w:highlight w:val="none"/>
          <w:lang w:eastAsia="zh-CN"/>
        </w:rPr>
        <w:t>%。</w:t>
      </w:r>
    </w:p>
    <w:p w14:paraId="2FA3F2B0">
      <w:pPr>
        <w:keepNext w:val="0"/>
        <w:keepLines w:val="0"/>
        <w:widowControl w:val="0"/>
        <w:suppressLineNumbers w:val="0"/>
        <w:spacing w:before="0" w:beforeAutospacing="0" w:after="0" w:afterAutospacing="0"/>
        <w:ind w:left="0" w:right="0"/>
        <w:jc w:val="both"/>
      </w:pPr>
      <w:r>
        <w:rPr>
          <w:rFonts w:hint="eastAsia" w:ascii="仿宋_GB2312" w:hAnsi="仿宋_GB2312" w:eastAsia="仿宋_GB2312" w:cs="仿宋_GB2312"/>
          <w:color w:val="auto"/>
          <w:sz w:val="32"/>
          <w:szCs w:val="32"/>
          <w:highlight w:val="none"/>
          <w:lang w:eastAsia="zh-CN"/>
        </w:rPr>
        <w:fldChar w:fldCharType="begin"/>
      </w:r>
      <w:r>
        <w:instrText xml:space="preserve"> LINK Word.Document.8 "C:\\Users\\Administrator\\Desktop\\-税改决算公开-2023年度部门决算分析报告（市委政法委）.doc" "OLE_LINK3" \h \a </w:instrText>
      </w:r>
      <w:r>
        <w:rPr>
          <w:rFonts w:hint="eastAsia" w:ascii="仿宋_GB2312" w:hAnsi="仿宋_GB2312" w:eastAsia="仿宋_GB2312" w:cs="仿宋_GB2312"/>
          <w:color w:val="auto"/>
          <w:sz w:val="32"/>
          <w:szCs w:val="32"/>
          <w:highlight w:val="none"/>
          <w:lang w:eastAsia="zh-CN"/>
        </w:rPr>
        <w:fldChar w:fldCharType="separate"/>
      </w:r>
      <w:bookmarkStart w:id="25" w:name="OLE_LINK3"/>
      <w:bookmarkEnd w:id="25"/>
      <w:r>
        <w:rPr>
          <w:rFonts w:hint="default" w:ascii="Times New Roman" w:hAnsi="Times New Roman" w:eastAsia="宋体" w:cs="Times New Roman"/>
          <w:kern w:val="2"/>
          <w:sz w:val="21"/>
          <w:szCs w:val="21"/>
          <w:lang w:val="en-US" w:eastAsia="zh-CN" w:bidi="ar"/>
        </w:rPr>
        <w:drawing>
          <wp:inline distT="0" distB="0" distL="114300" distR="114300">
            <wp:extent cx="5334000" cy="2771775"/>
            <wp:effectExtent l="0" t="0" r="0" b="0"/>
            <wp:docPr id="10" name="图片 4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5" descr="IMG_256"/>
                    <pic:cNvPicPr>
                      <a:picLocks noChangeAspect="1"/>
                    </pic:cNvPicPr>
                  </pic:nvPicPr>
                  <pic:blipFill>
                    <a:blip r:embed="rId16"/>
                    <a:stretch>
                      <a:fillRect/>
                    </a:stretch>
                  </pic:blipFill>
                  <pic:spPr>
                    <a:xfrm>
                      <a:off x="0" y="0"/>
                      <a:ext cx="5343525" cy="2552700"/>
                    </a:xfrm>
                    <a:prstGeom prst="rect">
                      <a:avLst/>
                    </a:prstGeom>
                    <a:noFill/>
                    <a:ln w="9525">
                      <a:noFill/>
                    </a:ln>
                  </pic:spPr>
                </pic:pic>
              </a:graphicData>
            </a:graphic>
          </wp:inline>
        </w:drawing>
      </w:r>
    </w:p>
    <w:p w14:paraId="2E2A7620">
      <w:pPr>
        <w:pStyle w:val="27"/>
        <w:keepNext w:val="0"/>
        <w:keepLines w:val="0"/>
        <w:pageBreakBefore w:val="0"/>
        <w:widowControl w:val="0"/>
        <w:numPr>
          <w:ilvl w:val="0"/>
          <w:numId w:val="0"/>
        </w:numPr>
        <w:kinsoku/>
        <w:wordWrap/>
        <w:overflowPunct/>
        <w:topLinePunct w:val="0"/>
        <w:autoSpaceDE/>
        <w:autoSpaceDN/>
        <w:bidi w:val="0"/>
        <w:adjustRightInd/>
        <w:snapToGrid/>
        <w:spacing w:line="600" w:lineRule="exact"/>
        <w:jc w:val="left"/>
        <w:textAlignment w:val="auto"/>
        <w:outlineLvl w:val="1"/>
        <w:rPr>
          <w:rFonts w:hint="eastAsia" w:ascii="Times New Roman" w:hAnsi="Times New Roman"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fldChar w:fldCharType="end"/>
      </w:r>
      <w:r>
        <w:rPr>
          <w:rFonts w:hint="eastAsia" w:ascii="仿宋_GB2312" w:hAnsi="仿宋_GB2312" w:eastAsia="仿宋_GB2312" w:cs="仿宋_GB2312"/>
          <w:color w:val="auto"/>
          <w:sz w:val="32"/>
          <w:szCs w:val="32"/>
          <w:highlight w:val="none"/>
          <w:lang w:val="en-US" w:eastAsia="zh-CN"/>
        </w:rPr>
        <w:t xml:space="preserve">      </w:t>
      </w:r>
      <w:r>
        <w:rPr>
          <w:rFonts w:hint="eastAsia" w:ascii="Times New Roman" w:hAnsi="Times New Roman" w:eastAsia="仿宋_GB2312" w:cs="仿宋_GB2312"/>
          <w:color w:val="auto"/>
          <w:sz w:val="32"/>
          <w:szCs w:val="32"/>
          <w:highlight w:val="none"/>
          <w:lang w:eastAsia="zh-CN"/>
        </w:rPr>
        <w:t>（图3：支出决算结构图）（饼状图）</w:t>
      </w:r>
    </w:p>
    <w:p w14:paraId="65E9CC18">
      <w:pPr>
        <w:pStyle w:val="27"/>
        <w:keepNext w:val="0"/>
        <w:keepLines w:val="0"/>
        <w:pageBreakBefore w:val="0"/>
        <w:widowControl w:val="0"/>
        <w:numPr>
          <w:ilvl w:val="0"/>
          <w:numId w:val="0"/>
        </w:numPr>
        <w:kinsoku/>
        <w:wordWrap/>
        <w:overflowPunct/>
        <w:topLinePunct w:val="0"/>
        <w:autoSpaceDE/>
        <w:autoSpaceDN/>
        <w:bidi w:val="0"/>
        <w:adjustRightInd/>
        <w:snapToGrid/>
        <w:spacing w:line="600" w:lineRule="exact"/>
        <w:jc w:val="left"/>
        <w:textAlignment w:val="auto"/>
        <w:outlineLvl w:val="1"/>
        <w:rPr>
          <w:rFonts w:hint="eastAsia" w:ascii="Times New Roman" w:hAnsi="Times New Roman" w:eastAsia="仿宋_GB2312" w:cs="仿宋_GB2312"/>
          <w:color w:val="auto"/>
          <w:sz w:val="32"/>
          <w:szCs w:val="32"/>
          <w:highlight w:val="none"/>
          <w:lang w:eastAsia="zh-CN"/>
        </w:rPr>
      </w:pPr>
    </w:p>
    <w:p w14:paraId="10FDA94C">
      <w:pPr>
        <w:pStyle w:val="27"/>
        <w:keepNext w:val="0"/>
        <w:keepLines w:val="0"/>
        <w:pageBreakBefore w:val="0"/>
        <w:widowControl w:val="0"/>
        <w:numPr>
          <w:ilvl w:val="0"/>
          <w:numId w:val="0"/>
        </w:numPr>
        <w:kinsoku/>
        <w:wordWrap/>
        <w:overflowPunct/>
        <w:topLinePunct w:val="0"/>
        <w:autoSpaceDE/>
        <w:autoSpaceDN/>
        <w:bidi w:val="0"/>
        <w:adjustRightInd/>
        <w:snapToGrid/>
        <w:spacing w:line="600" w:lineRule="exact"/>
        <w:jc w:val="left"/>
        <w:textAlignment w:val="auto"/>
        <w:outlineLvl w:val="1"/>
        <w:rPr>
          <w:rFonts w:hint="eastAsia" w:ascii="Times New Roman" w:hAnsi="Times New Roman" w:eastAsia="仿宋_GB2312" w:cs="仿宋_GB2312"/>
          <w:color w:val="auto"/>
          <w:sz w:val="32"/>
          <w:szCs w:val="32"/>
          <w:highlight w:val="none"/>
          <w:lang w:eastAsia="zh-CN"/>
        </w:rPr>
      </w:pPr>
    </w:p>
    <w:p w14:paraId="22002CE8">
      <w:pPr>
        <w:pStyle w:val="27"/>
        <w:keepNext w:val="0"/>
        <w:keepLines w:val="0"/>
        <w:pageBreakBefore w:val="0"/>
        <w:widowControl w:val="0"/>
        <w:numPr>
          <w:ilvl w:val="0"/>
          <w:numId w:val="0"/>
        </w:numPr>
        <w:kinsoku/>
        <w:wordWrap/>
        <w:overflowPunct/>
        <w:topLinePunct w:val="0"/>
        <w:autoSpaceDE/>
        <w:autoSpaceDN/>
        <w:bidi w:val="0"/>
        <w:adjustRightInd/>
        <w:snapToGrid/>
        <w:spacing w:line="600" w:lineRule="exact"/>
        <w:jc w:val="left"/>
        <w:textAlignment w:val="auto"/>
        <w:outlineLvl w:val="1"/>
        <w:rPr>
          <w:rFonts w:hint="eastAsia" w:ascii="Times New Roman" w:hAnsi="Times New Roman" w:eastAsia="仿宋_GB2312" w:cs="仿宋_GB2312"/>
          <w:color w:val="auto"/>
          <w:sz w:val="32"/>
          <w:szCs w:val="32"/>
          <w:highlight w:val="none"/>
          <w:lang w:eastAsia="zh-CN"/>
        </w:rPr>
      </w:pPr>
    </w:p>
    <w:p w14:paraId="6648D8F0">
      <w:pPr>
        <w:spacing w:line="600" w:lineRule="exact"/>
        <w:ind w:firstLine="640" w:firstLineChars="200"/>
        <w:outlineLvl w:val="1"/>
        <w:rPr>
          <w:rStyle w:val="29"/>
          <w:rFonts w:ascii="Times New Roman" w:hAnsi="Times New Roman" w:eastAsia="黑体"/>
          <w:b w:val="0"/>
          <w:color w:val="auto"/>
          <w:highlight w:val="none"/>
        </w:rPr>
      </w:pPr>
      <w:bookmarkStart w:id="26" w:name="_Toc15377208"/>
      <w:bookmarkStart w:id="27" w:name="_Toc15396606"/>
      <w:r>
        <w:rPr>
          <w:rFonts w:hint="eastAsia" w:ascii="Times New Roman" w:hAnsi="Times New Roman" w:eastAsia="黑体"/>
          <w:color w:val="auto"/>
          <w:sz w:val="32"/>
          <w:szCs w:val="32"/>
          <w:highlight w:val="none"/>
        </w:rPr>
        <w:t>四、财</w:t>
      </w:r>
      <w:r>
        <w:rPr>
          <w:rStyle w:val="29"/>
          <w:rFonts w:hint="eastAsia" w:ascii="Times New Roman" w:hAnsi="Times New Roman" w:eastAsia="黑体"/>
          <w:b w:val="0"/>
          <w:color w:val="auto"/>
          <w:highlight w:val="none"/>
        </w:rPr>
        <w:t>政拨款收入支出决算总体情况说明</w:t>
      </w:r>
      <w:bookmarkEnd w:id="26"/>
      <w:bookmarkEnd w:id="27"/>
    </w:p>
    <w:p w14:paraId="72208A13">
      <w:pPr>
        <w:spacing w:line="600" w:lineRule="exact"/>
        <w:ind w:firstLine="640"/>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kern w:val="2"/>
          <w:sz w:val="32"/>
          <w:szCs w:val="32"/>
          <w:highlight w:val="none"/>
          <w:lang w:val="en-US" w:eastAsia="zh-CN" w:bidi="ar-SA"/>
        </w:rPr>
        <w:t>2024年度财政拨款收入、支出总计均为</w:t>
      </w:r>
      <w:r>
        <w:rPr>
          <w:rFonts w:hint="eastAsia" w:ascii="仿宋_GB2312" w:hAnsi="仿宋_GB2312" w:eastAsia="仿宋_GB2312" w:cs="仿宋_GB2312"/>
          <w:sz w:val="32"/>
          <w:szCs w:val="32"/>
          <w:lang w:val="en-US" w:eastAsia="zh-CN"/>
        </w:rPr>
        <w:t>2254.91</w:t>
      </w:r>
      <w:r>
        <w:rPr>
          <w:rFonts w:hint="eastAsia" w:ascii="Times New Roman" w:hAnsi="Times New Roman" w:eastAsia="仿宋_GB2312" w:cs="仿宋_GB2312"/>
          <w:color w:val="auto"/>
          <w:kern w:val="2"/>
          <w:sz w:val="32"/>
          <w:szCs w:val="32"/>
          <w:highlight w:val="none"/>
          <w:lang w:val="en-US" w:eastAsia="zh-CN" w:bidi="ar-SA"/>
        </w:rPr>
        <w:t>万元。与2023年度相比，财政拨款收入总计、支出总计各减少</w:t>
      </w:r>
      <w:r>
        <w:rPr>
          <w:rFonts w:hint="eastAsia" w:eastAsia="仿宋_GB2312" w:cs="仿宋_GB2312"/>
          <w:color w:val="auto"/>
          <w:sz w:val="32"/>
          <w:szCs w:val="32"/>
          <w:highlight w:val="none"/>
          <w:lang w:val="en-US" w:eastAsia="zh-CN"/>
        </w:rPr>
        <w:t>395.69</w:t>
      </w:r>
      <w:r>
        <w:rPr>
          <w:rFonts w:hint="eastAsia" w:ascii="Times New Roman" w:hAnsi="Times New Roman" w:eastAsia="仿宋_GB2312" w:cs="仿宋_GB2312"/>
          <w:color w:val="auto"/>
          <w:kern w:val="2"/>
          <w:sz w:val="32"/>
          <w:szCs w:val="32"/>
          <w:highlight w:val="none"/>
          <w:lang w:val="en-US" w:eastAsia="zh-CN" w:bidi="ar-SA"/>
        </w:rPr>
        <w:t>万元，下降</w:t>
      </w:r>
      <w:r>
        <w:rPr>
          <w:rFonts w:hint="eastAsia" w:eastAsia="仿宋_GB2312" w:cs="仿宋_GB2312"/>
          <w:color w:val="auto"/>
          <w:kern w:val="2"/>
          <w:sz w:val="32"/>
          <w:szCs w:val="32"/>
          <w:highlight w:val="none"/>
          <w:lang w:val="en-US" w:eastAsia="zh-CN" w:bidi="ar-SA"/>
        </w:rPr>
        <w:t>15</w:t>
      </w:r>
      <w:r>
        <w:rPr>
          <w:rFonts w:hint="eastAsia" w:ascii="Times New Roman" w:hAnsi="Times New Roman" w:eastAsia="仿宋_GB2312" w:cs="仿宋_GB2312"/>
          <w:color w:val="auto"/>
          <w:kern w:val="2"/>
          <w:sz w:val="32"/>
          <w:szCs w:val="32"/>
          <w:highlight w:val="none"/>
          <w:lang w:val="en-US" w:eastAsia="zh-CN" w:bidi="ar-SA"/>
        </w:rPr>
        <w:t>%。主要变动原因是</w:t>
      </w:r>
      <w:r>
        <w:rPr>
          <w:rFonts w:hint="eastAsia" w:ascii="Times New Roman" w:hAnsi="Times New Roman" w:eastAsia="仿宋_GB2312" w:cs="仿宋_GB2312"/>
          <w:color w:val="auto"/>
          <w:sz w:val="32"/>
          <w:szCs w:val="32"/>
          <w:highlight w:val="none"/>
        </w:rPr>
        <w:t>2023年市公共安全视频监控联网应用项目已完工支付，2024年无该项目收、支款项</w:t>
      </w:r>
      <w:r>
        <w:rPr>
          <w:rFonts w:hint="eastAsia" w:ascii="Times New Roman" w:hAnsi="Times New Roman" w:eastAsia="仿宋_GB2312" w:cs="仿宋_GB2312"/>
          <w:color w:val="auto"/>
          <w:sz w:val="32"/>
          <w:szCs w:val="32"/>
          <w:highlight w:val="none"/>
          <w:lang w:eastAsia="zh-CN"/>
        </w:rPr>
        <w:t>。</w:t>
      </w:r>
    </w:p>
    <w:p w14:paraId="12C33CA9">
      <w:pPr>
        <w:keepNext w:val="0"/>
        <w:keepLines w:val="0"/>
        <w:widowControl w:val="0"/>
        <w:suppressLineNumbers w:val="0"/>
        <w:spacing w:before="0" w:beforeAutospacing="0" w:after="0" w:afterAutospacing="0"/>
        <w:ind w:left="0" w:right="0"/>
        <w:jc w:val="both"/>
      </w:pPr>
      <w:r>
        <w:rPr>
          <w:rFonts w:hint="eastAsia" w:ascii="Times New Roman" w:hAnsi="Times New Roman" w:eastAsia="仿宋_GB2312" w:cs="仿宋_GB2312"/>
          <w:color w:val="auto"/>
          <w:sz w:val="32"/>
          <w:szCs w:val="32"/>
          <w:highlight w:val="none"/>
          <w:lang w:eastAsia="zh-CN"/>
        </w:rPr>
        <w:fldChar w:fldCharType="begin"/>
      </w:r>
      <w:r>
        <w:instrText xml:space="preserve"> LINK Word.Document.8 "C:\\Users\\Administrator\\Desktop\\-税改决算公开-2023年度部门决算分析报告（市委政法委）.doc" "OLE_LINK1" \h \a </w:instrText>
      </w:r>
      <w:r>
        <w:rPr>
          <w:rFonts w:hint="eastAsia" w:ascii="Times New Roman" w:hAnsi="Times New Roman" w:eastAsia="仿宋_GB2312" w:cs="仿宋_GB2312"/>
          <w:color w:val="auto"/>
          <w:sz w:val="32"/>
          <w:szCs w:val="32"/>
          <w:highlight w:val="none"/>
          <w:lang w:eastAsia="zh-CN"/>
        </w:rPr>
        <w:fldChar w:fldCharType="separate"/>
      </w:r>
      <w:r>
        <w:rPr>
          <w:rFonts w:ascii="方正小标宋简体" w:hAnsi="宋体" w:eastAsia="方正小标宋简体"/>
          <w:color w:val="auto"/>
          <w:sz w:val="36"/>
          <w:szCs w:val="36"/>
          <w:highlight w:val="none"/>
        </w:rPr>
        <w:object>
          <v:shape id="_x0000_i1026" o:spt="75" type="#_x0000_t75" style="height:222.75pt;width:397.45pt;" o:ole="t" filled="f" o:preferrelative="t" stroked="f" coordsize="21600,21600">
            <v:path/>
            <v:fill on="f" focussize="0,0"/>
            <v:stroke on="f"/>
            <v:imagedata r:id="rId18" o:title=""/>
            <o:lock v:ext="edit" aspectratio="t"/>
            <w10:wrap type="none"/>
            <w10:anchorlock/>
          </v:shape>
          <o:OLEObject Type="Embed" ProgID="Excel.Chart.8" ShapeID="_x0000_i1026" DrawAspect="Content" ObjectID="_1468075726" r:id="rId17">
            <o:LockedField>false</o:LockedField>
          </o:OLEObject>
        </w:object>
      </w:r>
    </w:p>
    <w:p w14:paraId="5B4F560F">
      <w:pPr>
        <w:pStyle w:val="7"/>
        <w:ind w:left="0" w:leftChars="0" w:firstLine="0" w:firstLineChars="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sz w:val="32"/>
          <w:szCs w:val="32"/>
          <w:highlight w:val="none"/>
          <w:lang w:eastAsia="zh-CN"/>
        </w:rPr>
        <w:fldChar w:fldCharType="end"/>
      </w:r>
      <w:r>
        <w:rPr>
          <w:rFonts w:hint="eastAsia" w:ascii="Times New Roman" w:hAnsi="Times New Roman" w:eastAsia="仿宋_GB2312" w:cs="仿宋_GB2312"/>
          <w:color w:val="auto"/>
          <w:sz w:val="32"/>
          <w:szCs w:val="32"/>
          <w:highlight w:val="none"/>
          <w:lang w:val="en-US" w:eastAsia="zh-CN"/>
        </w:rPr>
        <w:t xml:space="preserve"> </w:t>
      </w:r>
      <w:r>
        <w:rPr>
          <w:rFonts w:hint="eastAsia" w:ascii="Times New Roman" w:hAnsi="Times New Roman" w:eastAsia="仿宋_GB2312" w:cs="仿宋_GB2312"/>
          <w:color w:val="auto"/>
          <w:kern w:val="2"/>
          <w:sz w:val="32"/>
          <w:szCs w:val="32"/>
          <w:highlight w:val="none"/>
          <w:lang w:val="en-US" w:eastAsia="zh-CN" w:bidi="ar-SA"/>
        </w:rPr>
        <w:t>（图4：财政拨款收、支决算总计变动情况）（柱状图）</w:t>
      </w:r>
    </w:p>
    <w:p w14:paraId="58EC841F">
      <w:pPr>
        <w:spacing w:line="600" w:lineRule="exact"/>
        <w:ind w:firstLine="640" w:firstLineChars="200"/>
        <w:outlineLvl w:val="1"/>
        <w:rPr>
          <w:rStyle w:val="29"/>
          <w:rFonts w:ascii="Times New Roman" w:hAnsi="Times New Roman" w:eastAsia="黑体"/>
          <w:b w:val="0"/>
          <w:color w:val="auto"/>
          <w:highlight w:val="none"/>
        </w:rPr>
      </w:pPr>
      <w:bookmarkStart w:id="28" w:name="_Toc15396607"/>
      <w:bookmarkStart w:id="29" w:name="_Toc15377209"/>
      <w:r>
        <w:rPr>
          <w:rFonts w:hint="eastAsia" w:ascii="Times New Roman" w:hAnsi="Times New Roman" w:eastAsia="黑体"/>
          <w:color w:val="auto"/>
          <w:sz w:val="32"/>
          <w:szCs w:val="32"/>
          <w:highlight w:val="none"/>
        </w:rPr>
        <w:t>五、</w:t>
      </w:r>
      <w:r>
        <w:rPr>
          <w:rFonts w:hint="eastAsia" w:ascii="Times New Roman" w:hAnsi="Times New Roman" w:eastAsia="黑体"/>
          <w:b/>
          <w:color w:val="auto"/>
          <w:sz w:val="32"/>
          <w:szCs w:val="32"/>
          <w:highlight w:val="none"/>
        </w:rPr>
        <w:t>一</w:t>
      </w:r>
      <w:r>
        <w:rPr>
          <w:rStyle w:val="29"/>
          <w:rFonts w:hint="eastAsia" w:ascii="Times New Roman" w:hAnsi="Times New Roman" w:eastAsia="黑体"/>
          <w:b w:val="0"/>
          <w:color w:val="auto"/>
          <w:highlight w:val="none"/>
        </w:rPr>
        <w:t>般公共预算财政拨款支出决算情况说明</w:t>
      </w:r>
      <w:bookmarkEnd w:id="28"/>
      <w:bookmarkEnd w:id="29"/>
    </w:p>
    <w:p w14:paraId="458C35BC">
      <w:pPr>
        <w:spacing w:line="600" w:lineRule="exact"/>
        <w:ind w:firstLine="643" w:firstLineChars="200"/>
        <w:outlineLvl w:val="2"/>
        <w:rPr>
          <w:rFonts w:hint="eastAsia" w:ascii="Times New Roman" w:hAnsi="Times New Roman" w:eastAsia="楷体_GB2312" w:cs="楷体_GB2312"/>
          <w:b/>
          <w:color w:val="auto"/>
          <w:sz w:val="32"/>
          <w:szCs w:val="32"/>
          <w:highlight w:val="none"/>
        </w:rPr>
      </w:pPr>
      <w:bookmarkStart w:id="30" w:name="_Toc15377210"/>
      <w:r>
        <w:rPr>
          <w:rFonts w:hint="eastAsia" w:ascii="Times New Roman" w:hAnsi="Times New Roman" w:eastAsia="楷体_GB2312" w:cs="楷体_GB2312"/>
          <w:b/>
          <w:color w:val="auto"/>
          <w:sz w:val="32"/>
          <w:szCs w:val="32"/>
          <w:highlight w:val="none"/>
        </w:rPr>
        <w:t>（一）一般公共预算财政拨款支出决算总体情况</w:t>
      </w:r>
      <w:bookmarkEnd w:id="30"/>
    </w:p>
    <w:p w14:paraId="3E35C737">
      <w:pPr>
        <w:spacing w:line="600" w:lineRule="exact"/>
        <w:ind w:firstLine="640"/>
        <w:rPr>
          <w:rFonts w:hint="eastAsia" w:ascii="Times New Roman" w:hAnsi="Times New Roman" w:eastAsia="仿宋_GB2312" w:cs="仿宋_GB2312"/>
          <w:color w:val="auto"/>
          <w:sz w:val="32"/>
          <w:szCs w:val="32"/>
          <w:highlight w:val="none"/>
        </w:rPr>
      </w:pPr>
      <w:r>
        <w:rPr>
          <w:rFonts w:hint="eastAsia" w:ascii="仿宋_GB2312" w:hAnsi="仿宋_GB2312" w:eastAsia="仿宋_GB2312" w:cs="仿宋_GB2312"/>
          <w:color w:val="auto"/>
          <w:kern w:val="2"/>
          <w:sz w:val="32"/>
          <w:szCs w:val="32"/>
          <w:highlight w:val="none"/>
          <w:lang w:val="en-US" w:eastAsia="zh-CN" w:bidi="ar-SA"/>
        </w:rPr>
        <w:t>2024年度一般公共预算财政拨款支出</w:t>
      </w:r>
      <w:r>
        <w:rPr>
          <w:rFonts w:hint="eastAsia" w:ascii="仿宋_GB2312" w:hAnsi="仿宋_GB2312" w:eastAsia="仿宋_GB2312" w:cs="仿宋_GB2312"/>
          <w:sz w:val="32"/>
          <w:szCs w:val="32"/>
          <w:lang w:val="en-US" w:eastAsia="zh-CN"/>
        </w:rPr>
        <w:t>2254.91</w:t>
      </w:r>
      <w:r>
        <w:rPr>
          <w:rFonts w:hint="eastAsia" w:ascii="仿宋_GB2312" w:hAnsi="仿宋_GB2312" w:eastAsia="仿宋_GB2312" w:cs="仿宋_GB2312"/>
          <w:color w:val="auto"/>
          <w:kern w:val="2"/>
          <w:sz w:val="32"/>
          <w:szCs w:val="32"/>
          <w:highlight w:val="none"/>
          <w:lang w:val="en-US" w:eastAsia="zh-CN" w:bidi="ar-SA"/>
        </w:rPr>
        <w:t>万元，占本年支出合计的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color w:val="auto"/>
          <w:kern w:val="2"/>
          <w:sz w:val="32"/>
          <w:szCs w:val="32"/>
          <w:highlight w:val="none"/>
          <w:lang w:val="en-US" w:eastAsia="zh-CN" w:bidi="ar-SA"/>
        </w:rPr>
        <w:t>%。与2023年度相比，一般公共预算财政拨款支出减少395.69万元，下降15%。主要变动原因是</w:t>
      </w:r>
      <w:r>
        <w:rPr>
          <w:rFonts w:hint="eastAsia" w:ascii="Times New Roman" w:hAnsi="Times New Roman" w:eastAsia="仿宋_GB2312" w:cs="仿宋_GB2312"/>
          <w:color w:val="auto"/>
          <w:sz w:val="32"/>
          <w:szCs w:val="32"/>
          <w:highlight w:val="none"/>
        </w:rPr>
        <w:t>2023年市公共安全视频监控联网应用项目已完工支付，2024年无该项目收、支款项。</w:t>
      </w:r>
    </w:p>
    <w:p w14:paraId="0D72E5B0">
      <w:pPr>
        <w:spacing w:line="600" w:lineRule="exact"/>
        <w:ind w:firstLine="640"/>
        <w:rPr>
          <w:rFonts w:hint="eastAsia" w:ascii="Times New Roman" w:hAnsi="Times New Roman" w:eastAsia="仿宋_GB2312" w:cs="仿宋_GB2312"/>
          <w:color w:val="auto"/>
          <w:sz w:val="32"/>
          <w:szCs w:val="32"/>
          <w:highlight w:val="none"/>
        </w:rPr>
      </w:pPr>
    </w:p>
    <w:p w14:paraId="1BA43F4C">
      <w:pPr>
        <w:spacing w:line="600" w:lineRule="exact"/>
        <w:ind w:firstLine="640"/>
        <w:rPr>
          <w:rFonts w:hint="eastAsia" w:ascii="Times New Roman" w:hAnsi="Times New Roman" w:eastAsia="仿宋_GB2312" w:cs="仿宋_GB2312"/>
          <w:color w:val="auto"/>
          <w:sz w:val="32"/>
          <w:szCs w:val="32"/>
          <w:highlight w:val="none"/>
        </w:rPr>
      </w:pPr>
    </w:p>
    <w:p w14:paraId="53F46B05">
      <w:pPr>
        <w:spacing w:line="600" w:lineRule="exact"/>
        <w:ind w:firstLine="640"/>
        <w:rPr>
          <w:rFonts w:hint="eastAsia" w:ascii="Times New Roman" w:hAnsi="Times New Roman" w:eastAsia="仿宋_GB2312" w:cs="仿宋_GB2312"/>
          <w:color w:val="auto"/>
          <w:sz w:val="32"/>
          <w:szCs w:val="32"/>
          <w:highlight w:val="none"/>
        </w:rPr>
      </w:pPr>
      <w:r>
        <w:rPr>
          <w:rFonts w:hint="eastAsia" w:ascii="仿宋" w:hAnsi="仿宋" w:eastAsia="仿宋" w:cs="Times New Roman"/>
          <w:color w:val="auto"/>
          <w:sz w:val="32"/>
          <w:szCs w:val="32"/>
          <w:highlight w:val="none"/>
        </w:rPr>
        <w:pict>
          <v:shape id="Object 26" o:spid="_x0000_s1026" o:spt="75" type="#_x0000_t75" style="position:absolute;left:0pt;margin-left:92.5pt;margin-top:102.05pt;height:214.45pt;width:406.45pt;mso-position-horizontal-relative:page;mso-position-vertical-relative:page;z-index:251659264;mso-width-relative:page;mso-height-relative:page;" o:ole="t" filled="f" o:preferrelative="t" stroked="f" coordsize="21600,21600">
            <v:path/>
            <v:fill on="f" focussize="0,0"/>
            <v:stroke on="f"/>
            <v:imagedata r:id="rId20" o:title=""/>
            <o:lock v:ext="edit" aspectratio="t"/>
          </v:shape>
          <o:OLEObject Type="Embed" ProgID="MSGraph.Chart.8" ShapeID="Object 26" DrawAspect="Content" ObjectID="_1468075727" r:id="rId19">
            <o:LockedField>false</o:LockedField>
          </o:OLEObject>
        </w:pict>
      </w:r>
    </w:p>
    <w:p w14:paraId="0708456A">
      <w:pPr>
        <w:pStyle w:val="13"/>
        <w:rPr>
          <w:rFonts w:hint="eastAsia" w:ascii="Times New Roman" w:hAnsi="Times New Roman" w:eastAsia="仿宋_GB2312" w:cs="仿宋_GB2312"/>
          <w:color w:val="auto"/>
          <w:sz w:val="32"/>
          <w:szCs w:val="32"/>
          <w:highlight w:val="none"/>
        </w:rPr>
      </w:pPr>
    </w:p>
    <w:p w14:paraId="08CA3D27">
      <w:pPr>
        <w:pStyle w:val="7"/>
        <w:rPr>
          <w:rFonts w:hint="eastAsia" w:ascii="Times New Roman" w:hAnsi="Times New Roman" w:eastAsia="仿宋_GB2312" w:cs="仿宋_GB2312"/>
          <w:color w:val="auto"/>
          <w:sz w:val="32"/>
          <w:szCs w:val="32"/>
          <w:highlight w:val="none"/>
        </w:rPr>
      </w:pPr>
    </w:p>
    <w:p w14:paraId="3D588FF7">
      <w:pPr>
        <w:pStyle w:val="7"/>
        <w:rPr>
          <w:rFonts w:hint="eastAsia" w:ascii="Times New Roman" w:hAnsi="Times New Roman" w:eastAsia="仿宋_GB2312" w:cs="仿宋_GB2312"/>
          <w:color w:val="auto"/>
          <w:sz w:val="32"/>
          <w:szCs w:val="32"/>
          <w:highlight w:val="none"/>
        </w:rPr>
      </w:pPr>
    </w:p>
    <w:p w14:paraId="3B3D7E88">
      <w:pPr>
        <w:pStyle w:val="7"/>
        <w:rPr>
          <w:rFonts w:hint="eastAsia" w:ascii="Times New Roman" w:hAnsi="Times New Roman" w:eastAsia="仿宋_GB2312" w:cs="仿宋_GB2312"/>
          <w:color w:val="auto"/>
          <w:sz w:val="32"/>
          <w:szCs w:val="32"/>
          <w:highlight w:val="none"/>
        </w:rPr>
      </w:pPr>
    </w:p>
    <w:p w14:paraId="7E285380">
      <w:pPr>
        <w:pStyle w:val="7"/>
        <w:rPr>
          <w:rFonts w:hint="eastAsia" w:ascii="Times New Roman" w:hAnsi="Times New Roman" w:eastAsia="仿宋_GB2312" w:cs="仿宋_GB2312"/>
          <w:color w:val="auto"/>
          <w:sz w:val="32"/>
          <w:szCs w:val="32"/>
          <w:highlight w:val="none"/>
        </w:rPr>
      </w:pPr>
    </w:p>
    <w:p w14:paraId="4279912E">
      <w:pPr>
        <w:pStyle w:val="7"/>
        <w:rPr>
          <w:rFonts w:hint="eastAsia" w:ascii="Times New Roman" w:hAnsi="Times New Roman" w:eastAsia="仿宋_GB2312" w:cs="仿宋_GB2312"/>
          <w:color w:val="auto"/>
          <w:sz w:val="32"/>
          <w:szCs w:val="32"/>
          <w:highlight w:val="none"/>
        </w:rPr>
      </w:pPr>
    </w:p>
    <w:p w14:paraId="235070A5">
      <w:pPr>
        <w:spacing w:line="600" w:lineRule="exact"/>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（图5：一般公共预算财政拨款支出决算变动情况）（柱状图）</w:t>
      </w:r>
    </w:p>
    <w:p w14:paraId="43F50521">
      <w:pPr>
        <w:numPr>
          <w:ilvl w:val="0"/>
          <w:numId w:val="2"/>
        </w:numPr>
        <w:spacing w:line="600" w:lineRule="exact"/>
        <w:ind w:firstLine="643" w:firstLineChars="200"/>
        <w:outlineLvl w:val="2"/>
        <w:rPr>
          <w:rFonts w:hint="eastAsia" w:ascii="Times New Roman" w:hAnsi="Times New Roman" w:eastAsia="楷体_GB2312" w:cs="楷体_GB2312"/>
          <w:b/>
          <w:color w:val="auto"/>
          <w:sz w:val="32"/>
          <w:szCs w:val="32"/>
          <w:highlight w:val="none"/>
        </w:rPr>
      </w:pPr>
      <w:bookmarkStart w:id="31" w:name="_Toc15377211"/>
      <w:r>
        <w:rPr>
          <w:rFonts w:hint="eastAsia" w:ascii="Times New Roman" w:hAnsi="Times New Roman" w:eastAsia="楷体_GB2312" w:cs="楷体_GB2312"/>
          <w:b/>
          <w:color w:val="auto"/>
          <w:sz w:val="32"/>
          <w:szCs w:val="32"/>
          <w:highlight w:val="none"/>
        </w:rPr>
        <w:t>一般公共预算财政拨款支出决算结构情况</w:t>
      </w:r>
      <w:bookmarkEnd w:id="31"/>
    </w:p>
    <w:p w14:paraId="3280A309">
      <w:pPr>
        <w:spacing w:line="600" w:lineRule="exact"/>
        <w:ind w:firstLine="640"/>
        <w:rPr>
          <w:rFonts w:hint="eastAsia"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lang w:eastAsia="zh-CN"/>
        </w:rPr>
        <w:t>202</w:t>
      </w:r>
      <w:r>
        <w:rPr>
          <w:rFonts w:hint="eastAsia" w:ascii="仿宋" w:hAnsi="仿宋" w:eastAsia="仿宋" w:cs="Times New Roman"/>
          <w:color w:val="auto"/>
          <w:sz w:val="32"/>
          <w:szCs w:val="32"/>
          <w:highlight w:val="none"/>
          <w:lang w:val="en-US" w:eastAsia="zh-CN"/>
        </w:rPr>
        <w:t>4</w:t>
      </w:r>
      <w:r>
        <w:rPr>
          <w:rFonts w:hint="eastAsia" w:ascii="仿宋" w:hAnsi="仿宋" w:eastAsia="仿宋" w:cs="Times New Roman"/>
          <w:color w:val="auto"/>
          <w:sz w:val="32"/>
          <w:szCs w:val="32"/>
          <w:highlight w:val="none"/>
        </w:rPr>
        <w:t>年</w:t>
      </w:r>
      <w:r>
        <w:rPr>
          <w:rFonts w:hint="eastAsia" w:ascii="仿宋" w:hAnsi="仿宋" w:eastAsia="仿宋" w:cs="Times New Roman"/>
          <w:color w:val="auto"/>
          <w:sz w:val="32"/>
          <w:szCs w:val="32"/>
          <w:highlight w:val="none"/>
          <w:lang w:eastAsia="zh-CN"/>
        </w:rPr>
        <w:t>度</w:t>
      </w:r>
      <w:r>
        <w:rPr>
          <w:rFonts w:hint="eastAsia" w:ascii="仿宋" w:hAnsi="仿宋" w:eastAsia="仿宋" w:cs="Times New Roman"/>
          <w:color w:val="auto"/>
          <w:sz w:val="32"/>
          <w:szCs w:val="32"/>
          <w:highlight w:val="none"/>
        </w:rPr>
        <w:t>一般公共预算财政拨款支出</w:t>
      </w:r>
      <w:r>
        <w:rPr>
          <w:rFonts w:hint="eastAsia" w:ascii="仿宋" w:hAnsi="仿宋" w:eastAsia="仿宋" w:cs="Times New Roman"/>
          <w:color w:val="auto"/>
          <w:sz w:val="32"/>
          <w:szCs w:val="32"/>
          <w:highlight w:val="none"/>
          <w:lang w:val="en-US" w:eastAsia="zh-CN"/>
        </w:rPr>
        <w:t>2254.91</w:t>
      </w:r>
      <w:r>
        <w:rPr>
          <w:rFonts w:hint="eastAsia" w:ascii="仿宋" w:hAnsi="仿宋" w:eastAsia="仿宋" w:cs="Times New Roman"/>
          <w:color w:val="auto"/>
          <w:sz w:val="32"/>
          <w:szCs w:val="32"/>
          <w:highlight w:val="none"/>
        </w:rPr>
        <w:t>万元，主要用于以下方面:一般公共服务支出</w:t>
      </w:r>
      <w:r>
        <w:rPr>
          <w:rFonts w:hint="eastAsia" w:ascii="仿宋" w:hAnsi="仿宋" w:eastAsia="仿宋" w:cs="Times New Roman"/>
          <w:color w:val="auto"/>
          <w:sz w:val="32"/>
          <w:szCs w:val="32"/>
          <w:highlight w:val="none"/>
          <w:lang w:val="en-US" w:eastAsia="zh-CN"/>
        </w:rPr>
        <w:t>1834.59</w:t>
      </w:r>
      <w:r>
        <w:rPr>
          <w:rFonts w:hint="eastAsia" w:ascii="仿宋" w:hAnsi="仿宋" w:eastAsia="仿宋" w:cs="Times New Roman"/>
          <w:color w:val="auto"/>
          <w:sz w:val="32"/>
          <w:szCs w:val="32"/>
          <w:highlight w:val="none"/>
        </w:rPr>
        <w:t>万元，</w:t>
      </w:r>
      <w:r>
        <w:rPr>
          <w:rFonts w:hint="eastAsia" w:ascii="仿宋" w:hAnsi="仿宋" w:eastAsia="仿宋" w:cs="Times New Roman"/>
          <w:color w:val="auto"/>
          <w:sz w:val="32"/>
          <w:szCs w:val="32"/>
          <w:highlight w:val="none"/>
          <w:lang w:val="en-US" w:eastAsia="zh-CN"/>
        </w:rPr>
        <w:t>81</w:t>
      </w:r>
      <w:r>
        <w:rPr>
          <w:rFonts w:hint="eastAsia" w:ascii="仿宋" w:hAnsi="仿宋" w:eastAsia="仿宋" w:cs="Times New Roman"/>
          <w:color w:val="auto"/>
          <w:sz w:val="32"/>
          <w:szCs w:val="32"/>
          <w:highlight w:val="none"/>
        </w:rPr>
        <w:t>%；社会保障和就业支出</w:t>
      </w:r>
      <w:r>
        <w:rPr>
          <w:rFonts w:hint="eastAsia" w:ascii="仿宋" w:hAnsi="仿宋" w:eastAsia="仿宋" w:cs="Times New Roman"/>
          <w:color w:val="auto"/>
          <w:sz w:val="32"/>
          <w:szCs w:val="32"/>
          <w:highlight w:val="none"/>
          <w:lang w:val="en-US" w:eastAsia="zh-CN"/>
        </w:rPr>
        <w:t>218.54</w:t>
      </w:r>
      <w:r>
        <w:rPr>
          <w:rFonts w:hint="eastAsia" w:ascii="仿宋" w:hAnsi="仿宋" w:eastAsia="仿宋" w:cs="Times New Roman"/>
          <w:color w:val="auto"/>
          <w:sz w:val="32"/>
          <w:szCs w:val="32"/>
          <w:highlight w:val="none"/>
        </w:rPr>
        <w:t>万元，占</w:t>
      </w:r>
      <w:r>
        <w:rPr>
          <w:rFonts w:hint="eastAsia" w:ascii="仿宋" w:hAnsi="仿宋" w:eastAsia="仿宋" w:cs="Times New Roman"/>
          <w:color w:val="auto"/>
          <w:sz w:val="32"/>
          <w:szCs w:val="32"/>
          <w:highlight w:val="none"/>
          <w:lang w:val="en-US" w:eastAsia="zh-CN"/>
        </w:rPr>
        <w:t>10</w:t>
      </w:r>
      <w:r>
        <w:rPr>
          <w:rFonts w:hint="eastAsia" w:ascii="仿宋" w:hAnsi="仿宋" w:eastAsia="仿宋" w:cs="Times New Roman"/>
          <w:color w:val="auto"/>
          <w:sz w:val="32"/>
          <w:szCs w:val="32"/>
          <w:highlight w:val="none"/>
        </w:rPr>
        <w:t>%；卫生健康支出</w:t>
      </w:r>
      <w:r>
        <w:rPr>
          <w:rFonts w:hint="eastAsia" w:ascii="仿宋" w:hAnsi="仿宋" w:eastAsia="仿宋" w:cs="Times New Roman"/>
          <w:color w:val="auto"/>
          <w:sz w:val="32"/>
          <w:szCs w:val="32"/>
          <w:highlight w:val="none"/>
          <w:lang w:val="en-US" w:eastAsia="zh-CN"/>
        </w:rPr>
        <w:t>70.05万元，</w:t>
      </w:r>
      <w:r>
        <w:rPr>
          <w:rFonts w:hint="eastAsia" w:ascii="仿宋" w:hAnsi="仿宋" w:eastAsia="仿宋" w:cs="Times New Roman"/>
          <w:color w:val="auto"/>
          <w:sz w:val="32"/>
          <w:szCs w:val="32"/>
          <w:highlight w:val="none"/>
        </w:rPr>
        <w:t>占</w:t>
      </w:r>
      <w:r>
        <w:rPr>
          <w:rFonts w:hint="eastAsia" w:ascii="仿宋" w:hAnsi="仿宋" w:eastAsia="仿宋" w:cs="Times New Roman"/>
          <w:color w:val="auto"/>
          <w:sz w:val="32"/>
          <w:szCs w:val="32"/>
          <w:highlight w:val="none"/>
          <w:lang w:val="en-US" w:eastAsia="zh-CN"/>
        </w:rPr>
        <w:t>3</w:t>
      </w:r>
      <w:r>
        <w:rPr>
          <w:rFonts w:hint="eastAsia"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lang w:val="en-US" w:eastAsia="zh-CN"/>
        </w:rPr>
        <w:t>；</w:t>
      </w:r>
      <w:r>
        <w:rPr>
          <w:rFonts w:hint="eastAsia" w:ascii="仿宋" w:hAnsi="仿宋" w:eastAsia="仿宋" w:cs="Times New Roman"/>
          <w:color w:val="auto"/>
          <w:sz w:val="32"/>
          <w:szCs w:val="32"/>
          <w:highlight w:val="none"/>
        </w:rPr>
        <w:t>住房保障支出</w:t>
      </w:r>
      <w:r>
        <w:rPr>
          <w:rFonts w:hint="eastAsia" w:ascii="仿宋" w:hAnsi="仿宋" w:eastAsia="仿宋" w:cs="Times New Roman"/>
          <w:color w:val="auto"/>
          <w:sz w:val="32"/>
          <w:szCs w:val="32"/>
          <w:highlight w:val="none"/>
          <w:lang w:val="en-US" w:eastAsia="zh-CN"/>
        </w:rPr>
        <w:t>131.73万元，</w:t>
      </w:r>
      <w:r>
        <w:rPr>
          <w:rFonts w:hint="eastAsia" w:ascii="仿宋" w:hAnsi="仿宋" w:eastAsia="仿宋" w:cs="Times New Roman"/>
          <w:color w:val="auto"/>
          <w:sz w:val="32"/>
          <w:szCs w:val="32"/>
          <w:highlight w:val="none"/>
        </w:rPr>
        <w:t>占</w:t>
      </w:r>
      <w:r>
        <w:rPr>
          <w:rFonts w:hint="eastAsia" w:ascii="仿宋" w:hAnsi="仿宋" w:eastAsia="仿宋" w:cs="Times New Roman"/>
          <w:color w:val="auto"/>
          <w:sz w:val="32"/>
          <w:szCs w:val="32"/>
          <w:highlight w:val="none"/>
          <w:lang w:val="en-US" w:eastAsia="zh-CN"/>
        </w:rPr>
        <w:t>6</w:t>
      </w:r>
      <w:r>
        <w:rPr>
          <w:rFonts w:hint="eastAsia" w:ascii="仿宋" w:hAnsi="仿宋" w:eastAsia="仿宋" w:cs="Times New Roman"/>
          <w:color w:val="auto"/>
          <w:sz w:val="32"/>
          <w:szCs w:val="32"/>
          <w:highlight w:val="none"/>
        </w:rPr>
        <w:t>%。</w:t>
      </w:r>
    </w:p>
    <w:p w14:paraId="7B91A6B4">
      <w:pPr>
        <w:pStyle w:val="7"/>
        <w:rPr>
          <w:rFonts w:hint="eastAsia"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lang w:eastAsia="zh-CN"/>
        </w:rPr>
        <w:drawing>
          <wp:inline distT="0" distB="0" distL="114300" distR="114300">
            <wp:extent cx="4721225" cy="2297430"/>
            <wp:effectExtent l="4445" t="5080" r="17780" b="21590"/>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426A008">
      <w:pPr>
        <w:spacing w:line="600" w:lineRule="exact"/>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（图6：一般公共预算财政拨款支出决算结构）（饼状图）</w:t>
      </w:r>
    </w:p>
    <w:p w14:paraId="4DD7860E">
      <w:pPr>
        <w:spacing w:line="600" w:lineRule="exact"/>
        <w:ind w:firstLine="643" w:firstLineChars="200"/>
        <w:outlineLvl w:val="2"/>
        <w:rPr>
          <w:rFonts w:hint="eastAsia" w:ascii="Times New Roman" w:hAnsi="Times New Roman" w:eastAsia="楷体_GB2312" w:cs="楷体_GB2312"/>
          <w:b/>
          <w:color w:val="auto"/>
          <w:sz w:val="32"/>
          <w:szCs w:val="32"/>
          <w:highlight w:val="none"/>
        </w:rPr>
      </w:pPr>
      <w:bookmarkStart w:id="32" w:name="_Toc15377212"/>
      <w:r>
        <w:rPr>
          <w:rFonts w:hint="eastAsia" w:ascii="Times New Roman" w:hAnsi="Times New Roman" w:eastAsia="楷体_GB2312" w:cs="楷体_GB2312"/>
          <w:b/>
          <w:color w:val="auto"/>
          <w:sz w:val="32"/>
          <w:szCs w:val="32"/>
          <w:highlight w:val="none"/>
        </w:rPr>
        <w:t>（三）一般公共预算财政拨款支出决算具体情况</w:t>
      </w:r>
      <w:bookmarkEnd w:id="32"/>
    </w:p>
    <w:p w14:paraId="47C8C38F">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bookmarkStart w:id="33" w:name="_Toc15377444"/>
      <w:bookmarkStart w:id="34" w:name="_Toc15377213"/>
      <w:bookmarkStart w:id="35" w:name="_Toc15378460"/>
      <w:r>
        <w:rPr>
          <w:rFonts w:hint="eastAsia" w:ascii="Times New Roman" w:hAnsi="Times New Roman" w:eastAsia="仿宋_GB2312" w:cs="仿宋_GB2312"/>
          <w:color w:val="auto"/>
          <w:kern w:val="2"/>
          <w:sz w:val="32"/>
          <w:szCs w:val="32"/>
          <w:highlight w:val="none"/>
          <w:lang w:val="en-US" w:eastAsia="zh-CN" w:bidi="ar-SA"/>
        </w:rPr>
        <w:t>2024年度一般公共预算财政拨款支出决算数为</w:t>
      </w:r>
      <w:r>
        <w:rPr>
          <w:rFonts w:hint="eastAsia" w:ascii="仿宋_GB2312" w:hAnsi="仿宋_GB2312" w:eastAsia="仿宋_GB2312" w:cs="仿宋_GB2312"/>
          <w:sz w:val="32"/>
          <w:szCs w:val="32"/>
          <w:lang w:val="en-US" w:eastAsia="zh-CN"/>
        </w:rPr>
        <w:t>2254.91</w:t>
      </w:r>
      <w:r>
        <w:rPr>
          <w:rFonts w:hint="eastAsia" w:ascii="仿宋_GB2312" w:hAnsi="仿宋_GB2312"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完成预算</w:t>
      </w:r>
      <w:r>
        <w:rPr>
          <w:rFonts w:hint="eastAsia" w:eastAsia="仿宋_GB2312" w:cs="仿宋_GB2312"/>
          <w:color w:val="auto"/>
          <w:kern w:val="2"/>
          <w:sz w:val="32"/>
          <w:szCs w:val="32"/>
          <w:highlight w:val="none"/>
          <w:lang w:val="en-US" w:eastAsia="zh-CN" w:bidi="ar-SA"/>
        </w:rPr>
        <w:t>100</w:t>
      </w:r>
      <w:r>
        <w:rPr>
          <w:rFonts w:hint="eastAsia" w:ascii="Times New Roman" w:hAnsi="Times New Roman" w:eastAsia="仿宋_GB2312" w:cs="仿宋_GB2312"/>
          <w:color w:val="auto"/>
          <w:kern w:val="2"/>
          <w:sz w:val="32"/>
          <w:szCs w:val="32"/>
          <w:highlight w:val="none"/>
          <w:lang w:val="en-US" w:eastAsia="zh-CN" w:bidi="ar-SA"/>
        </w:rPr>
        <w:t>%。其中：</w:t>
      </w:r>
      <w:bookmarkEnd w:id="33"/>
      <w:bookmarkEnd w:id="34"/>
      <w:bookmarkEnd w:id="35"/>
    </w:p>
    <w:p w14:paraId="3CE13220">
      <w:pPr>
        <w:pStyle w:val="5"/>
        <w:spacing w:before="93"/>
        <w:ind w:firstLine="633" w:firstLineChars="198"/>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1.一般公共服务（类）党委办公厅（室）及相关机构事务（款）行政运行（项）:支出决算为</w:t>
      </w:r>
      <w:r>
        <w:rPr>
          <w:rFonts w:hint="eastAsia" w:ascii="Times New Roman" w:hAnsi="Times New Roman" w:cs="仿宋_GB2312"/>
          <w:color w:val="auto"/>
          <w:kern w:val="2"/>
          <w:sz w:val="32"/>
          <w:szCs w:val="32"/>
          <w:highlight w:val="none"/>
          <w:lang w:val="en-US" w:eastAsia="zh-CN" w:bidi="ar-SA"/>
        </w:rPr>
        <w:t>939.21</w:t>
      </w:r>
      <w:r>
        <w:rPr>
          <w:rFonts w:hint="eastAsia" w:ascii="Times New Roman" w:hAnsi="Times New Roman" w:eastAsia="仿宋_GB2312" w:cs="仿宋_GB2312"/>
          <w:color w:val="auto"/>
          <w:kern w:val="2"/>
          <w:sz w:val="32"/>
          <w:szCs w:val="32"/>
          <w:highlight w:val="none"/>
          <w:lang w:val="en-US" w:eastAsia="zh-CN" w:bidi="ar-SA"/>
        </w:rPr>
        <w:t>万元，完成预算100%。</w:t>
      </w:r>
    </w:p>
    <w:p w14:paraId="4F1118F9">
      <w:pPr>
        <w:pStyle w:val="5"/>
        <w:spacing w:before="93"/>
        <w:ind w:firstLine="633" w:firstLineChars="198"/>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2.一般公共服务（类）党委办公厅（室）及相关机构事务（款）一般行政管理事务（项）:支出决算为</w:t>
      </w:r>
      <w:r>
        <w:rPr>
          <w:rFonts w:hint="eastAsia" w:ascii="Times New Roman" w:hAnsi="Times New Roman" w:cs="仿宋_GB2312"/>
          <w:color w:val="auto"/>
          <w:kern w:val="2"/>
          <w:sz w:val="32"/>
          <w:szCs w:val="32"/>
          <w:highlight w:val="none"/>
          <w:lang w:val="en-US" w:eastAsia="zh-CN" w:bidi="ar-SA"/>
        </w:rPr>
        <w:t>522.88</w:t>
      </w:r>
      <w:r>
        <w:rPr>
          <w:rFonts w:hint="eastAsia" w:ascii="Times New Roman" w:hAnsi="Times New Roman" w:eastAsia="仿宋_GB2312" w:cs="仿宋_GB2312"/>
          <w:color w:val="auto"/>
          <w:kern w:val="2"/>
          <w:sz w:val="32"/>
          <w:szCs w:val="32"/>
          <w:highlight w:val="none"/>
          <w:lang w:val="en-US" w:eastAsia="zh-CN" w:bidi="ar-SA"/>
        </w:rPr>
        <w:t>万元，完成预算100%。</w:t>
      </w:r>
    </w:p>
    <w:p w14:paraId="57FA8201">
      <w:pPr>
        <w:pStyle w:val="5"/>
        <w:spacing w:before="93"/>
        <w:ind w:firstLine="633" w:firstLineChars="198"/>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3.一般公共服务（类）党委办公厅（室）及相关机构事务（款）事业运行（项）:支出决算为</w:t>
      </w:r>
      <w:r>
        <w:rPr>
          <w:rFonts w:hint="eastAsia" w:ascii="Times New Roman" w:hAnsi="Times New Roman" w:cs="仿宋_GB2312"/>
          <w:color w:val="auto"/>
          <w:kern w:val="2"/>
          <w:sz w:val="32"/>
          <w:szCs w:val="32"/>
          <w:highlight w:val="none"/>
          <w:lang w:val="en-US" w:eastAsia="zh-CN" w:bidi="ar-SA"/>
        </w:rPr>
        <w:t>265.56</w:t>
      </w:r>
      <w:r>
        <w:rPr>
          <w:rFonts w:hint="eastAsia" w:ascii="Times New Roman" w:hAnsi="Times New Roman" w:eastAsia="仿宋_GB2312" w:cs="仿宋_GB2312"/>
          <w:color w:val="auto"/>
          <w:kern w:val="2"/>
          <w:sz w:val="32"/>
          <w:szCs w:val="32"/>
          <w:highlight w:val="none"/>
          <w:lang w:val="en-US" w:eastAsia="zh-CN" w:bidi="ar-SA"/>
        </w:rPr>
        <w:t>万元，完成预算100%。</w:t>
      </w:r>
    </w:p>
    <w:p w14:paraId="5DE028AD">
      <w:pPr>
        <w:pStyle w:val="5"/>
        <w:spacing w:before="93"/>
        <w:ind w:firstLine="633" w:firstLineChars="198"/>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4.一般公共服务（类）党委办公厅（室）及相关机构事务（款）其他党委办公厅（室）及相关机构事务支出（项）:支出决算为</w:t>
      </w:r>
      <w:r>
        <w:rPr>
          <w:rFonts w:hint="eastAsia" w:ascii="Times New Roman" w:hAnsi="Times New Roman" w:cs="仿宋_GB2312"/>
          <w:color w:val="auto"/>
          <w:kern w:val="2"/>
          <w:sz w:val="32"/>
          <w:szCs w:val="32"/>
          <w:highlight w:val="none"/>
          <w:lang w:val="en-US" w:eastAsia="zh-CN" w:bidi="ar-SA"/>
        </w:rPr>
        <w:t>104</w:t>
      </w:r>
      <w:r>
        <w:rPr>
          <w:rFonts w:hint="eastAsia" w:ascii="Times New Roman" w:hAnsi="Times New Roman" w:eastAsia="仿宋_GB2312" w:cs="仿宋_GB2312"/>
          <w:color w:val="auto"/>
          <w:kern w:val="2"/>
          <w:sz w:val="32"/>
          <w:szCs w:val="32"/>
          <w:highlight w:val="none"/>
          <w:lang w:val="en-US" w:eastAsia="zh-CN" w:bidi="ar-SA"/>
        </w:rPr>
        <w:t>万元，完成预算100%。</w:t>
      </w:r>
    </w:p>
    <w:p w14:paraId="69D15C2E">
      <w:pPr>
        <w:pStyle w:val="5"/>
        <w:spacing w:before="93"/>
        <w:ind w:firstLine="633" w:firstLineChars="198"/>
        <w:rPr>
          <w:rFonts w:hint="default"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cs="仿宋_GB2312"/>
          <w:color w:val="auto"/>
          <w:kern w:val="2"/>
          <w:sz w:val="32"/>
          <w:szCs w:val="32"/>
          <w:highlight w:val="none"/>
          <w:lang w:val="en-US" w:eastAsia="zh-CN" w:bidi="ar-SA"/>
        </w:rPr>
        <w:t>5.</w:t>
      </w:r>
      <w:r>
        <w:rPr>
          <w:rFonts w:hint="eastAsia" w:ascii="Times New Roman" w:hAnsi="Times New Roman" w:eastAsia="仿宋_GB2312" w:cs="仿宋_GB2312"/>
          <w:color w:val="auto"/>
          <w:kern w:val="2"/>
          <w:sz w:val="32"/>
          <w:szCs w:val="32"/>
          <w:highlight w:val="none"/>
          <w:lang w:val="en-US" w:eastAsia="zh-CN" w:bidi="ar-SA"/>
        </w:rPr>
        <w:t>一般公共服务（类）</w:t>
      </w:r>
      <w:r>
        <w:rPr>
          <w:rFonts w:hint="eastAsia" w:ascii="Times New Roman" w:hAnsi="Times New Roman" w:cs="仿宋_GB2312"/>
          <w:color w:val="auto"/>
          <w:kern w:val="2"/>
          <w:sz w:val="32"/>
          <w:szCs w:val="32"/>
          <w:highlight w:val="none"/>
          <w:lang w:val="en-US" w:eastAsia="zh-CN" w:bidi="ar-SA"/>
        </w:rPr>
        <w:t>组织事务</w:t>
      </w:r>
      <w:r>
        <w:rPr>
          <w:rFonts w:hint="eastAsia" w:ascii="Times New Roman" w:hAnsi="Times New Roman" w:eastAsia="仿宋_GB2312" w:cs="仿宋_GB2312"/>
          <w:color w:val="auto"/>
          <w:kern w:val="2"/>
          <w:sz w:val="32"/>
          <w:szCs w:val="32"/>
          <w:highlight w:val="none"/>
          <w:lang w:val="en-US" w:eastAsia="zh-CN" w:bidi="ar-SA"/>
        </w:rPr>
        <w:t>（款）</w:t>
      </w:r>
      <w:r>
        <w:rPr>
          <w:rFonts w:hint="eastAsia" w:ascii="Times New Roman" w:hAnsi="Times New Roman" w:cs="仿宋_GB2312"/>
          <w:color w:val="auto"/>
          <w:kern w:val="2"/>
          <w:sz w:val="32"/>
          <w:szCs w:val="32"/>
          <w:highlight w:val="none"/>
          <w:lang w:val="en-US" w:eastAsia="zh-CN" w:bidi="ar-SA"/>
        </w:rPr>
        <w:t>其他组织事务支出</w:t>
      </w:r>
      <w:r>
        <w:rPr>
          <w:rFonts w:hint="eastAsia" w:ascii="Times New Roman" w:hAnsi="Times New Roman" w:eastAsia="仿宋_GB2312" w:cs="仿宋_GB2312"/>
          <w:color w:val="auto"/>
          <w:kern w:val="2"/>
          <w:sz w:val="32"/>
          <w:szCs w:val="32"/>
          <w:highlight w:val="none"/>
          <w:lang w:val="en-US" w:eastAsia="zh-CN" w:bidi="ar-SA"/>
        </w:rPr>
        <w:t>（项）:支出决算为</w:t>
      </w:r>
      <w:r>
        <w:rPr>
          <w:rFonts w:hint="eastAsia" w:ascii="Times New Roman" w:hAnsi="Times New Roman" w:cs="仿宋_GB2312"/>
          <w:color w:val="auto"/>
          <w:kern w:val="2"/>
          <w:sz w:val="32"/>
          <w:szCs w:val="32"/>
          <w:highlight w:val="none"/>
          <w:lang w:val="en-US" w:eastAsia="zh-CN" w:bidi="ar-SA"/>
        </w:rPr>
        <w:t>2.93</w:t>
      </w:r>
      <w:r>
        <w:rPr>
          <w:rFonts w:hint="eastAsia" w:ascii="Times New Roman" w:hAnsi="Times New Roman" w:eastAsia="仿宋_GB2312" w:cs="仿宋_GB2312"/>
          <w:color w:val="auto"/>
          <w:kern w:val="2"/>
          <w:sz w:val="32"/>
          <w:szCs w:val="32"/>
          <w:highlight w:val="none"/>
          <w:lang w:val="en-US" w:eastAsia="zh-CN" w:bidi="ar-SA"/>
        </w:rPr>
        <w:t>万元，完成预算100%。</w:t>
      </w:r>
    </w:p>
    <w:p w14:paraId="1BD9585C">
      <w:pPr>
        <w:pStyle w:val="5"/>
        <w:spacing w:before="93"/>
        <w:ind w:firstLine="633" w:firstLineChars="198"/>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6.社会保障和就业支出（类）行政事业单位养老支出（款）行政单位离退休（项）:支出决算为</w:t>
      </w:r>
      <w:r>
        <w:rPr>
          <w:rFonts w:hint="eastAsia" w:ascii="Times New Roman" w:hAnsi="Times New Roman" w:cs="仿宋_GB2312"/>
          <w:color w:val="auto"/>
          <w:kern w:val="2"/>
          <w:sz w:val="32"/>
          <w:szCs w:val="32"/>
          <w:highlight w:val="none"/>
          <w:lang w:val="en-US" w:eastAsia="zh-CN" w:bidi="ar-SA"/>
        </w:rPr>
        <w:t>24.25</w:t>
      </w:r>
      <w:r>
        <w:rPr>
          <w:rFonts w:hint="eastAsia" w:ascii="Times New Roman" w:hAnsi="Times New Roman" w:eastAsia="仿宋_GB2312" w:cs="仿宋_GB2312"/>
          <w:color w:val="auto"/>
          <w:kern w:val="2"/>
          <w:sz w:val="32"/>
          <w:szCs w:val="32"/>
          <w:highlight w:val="none"/>
          <w:lang w:val="en-US" w:eastAsia="zh-CN" w:bidi="ar-SA"/>
        </w:rPr>
        <w:t>万元，完成预算100%。</w:t>
      </w:r>
    </w:p>
    <w:p w14:paraId="63178203">
      <w:pPr>
        <w:pStyle w:val="5"/>
        <w:spacing w:before="93"/>
        <w:ind w:firstLine="630" w:firstLineChars="197"/>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8.社会保障和就业支出（类）行政事业单位养老支出（款）机关事业单位基本养老保险缴费支出（项）:支出决算为</w:t>
      </w:r>
      <w:r>
        <w:rPr>
          <w:rFonts w:hint="eastAsia" w:ascii="Times New Roman" w:hAnsi="Times New Roman" w:cs="仿宋_GB2312"/>
          <w:color w:val="auto"/>
          <w:kern w:val="2"/>
          <w:sz w:val="32"/>
          <w:szCs w:val="32"/>
          <w:highlight w:val="none"/>
          <w:lang w:val="en-US" w:eastAsia="zh-CN" w:bidi="ar-SA"/>
        </w:rPr>
        <w:t>113.22</w:t>
      </w:r>
      <w:r>
        <w:rPr>
          <w:rFonts w:hint="eastAsia" w:ascii="Times New Roman" w:hAnsi="Times New Roman" w:eastAsia="仿宋_GB2312" w:cs="仿宋_GB2312"/>
          <w:color w:val="auto"/>
          <w:kern w:val="2"/>
          <w:sz w:val="32"/>
          <w:szCs w:val="32"/>
          <w:highlight w:val="none"/>
          <w:lang w:val="en-US" w:eastAsia="zh-CN" w:bidi="ar-SA"/>
        </w:rPr>
        <w:t>万元，完成预算100%。</w:t>
      </w:r>
    </w:p>
    <w:p w14:paraId="71B5CF0E">
      <w:pPr>
        <w:pStyle w:val="5"/>
        <w:spacing w:before="93"/>
        <w:ind w:firstLine="633" w:firstLineChars="198"/>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9.社会保障和就业支出（类）行政事业单位养老支出（款）机关事业单位职业年金缴费支出（项）:支出决算为</w:t>
      </w:r>
      <w:r>
        <w:rPr>
          <w:rFonts w:hint="eastAsia" w:ascii="Times New Roman" w:hAnsi="Times New Roman" w:cs="仿宋_GB2312"/>
          <w:color w:val="auto"/>
          <w:kern w:val="2"/>
          <w:sz w:val="32"/>
          <w:szCs w:val="32"/>
          <w:highlight w:val="none"/>
          <w:lang w:val="en-US" w:eastAsia="zh-CN" w:bidi="ar-SA"/>
        </w:rPr>
        <w:t>81.06</w:t>
      </w:r>
      <w:r>
        <w:rPr>
          <w:rFonts w:hint="eastAsia" w:ascii="Times New Roman" w:hAnsi="Times New Roman" w:eastAsia="仿宋_GB2312" w:cs="仿宋_GB2312"/>
          <w:color w:val="auto"/>
          <w:kern w:val="2"/>
          <w:sz w:val="32"/>
          <w:szCs w:val="32"/>
          <w:highlight w:val="none"/>
          <w:lang w:val="en-US" w:eastAsia="zh-CN" w:bidi="ar-SA"/>
        </w:rPr>
        <w:t>万元，完成预算100%。</w:t>
      </w:r>
    </w:p>
    <w:p w14:paraId="5DA03077">
      <w:pPr>
        <w:pStyle w:val="5"/>
        <w:spacing w:before="93"/>
        <w:ind w:firstLine="633" w:firstLineChars="198"/>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10.卫生健康支出（类）行政事业单位医疗（款）行政单位医疗（项）:支出决算为</w:t>
      </w:r>
      <w:r>
        <w:rPr>
          <w:rFonts w:hint="eastAsia" w:ascii="Times New Roman" w:hAnsi="Times New Roman" w:cs="仿宋_GB2312"/>
          <w:color w:val="auto"/>
          <w:kern w:val="2"/>
          <w:sz w:val="32"/>
          <w:szCs w:val="32"/>
          <w:highlight w:val="none"/>
          <w:lang w:val="en-US" w:eastAsia="zh-CN" w:bidi="ar-SA"/>
        </w:rPr>
        <w:t>47.11</w:t>
      </w:r>
      <w:r>
        <w:rPr>
          <w:rFonts w:hint="eastAsia" w:ascii="Times New Roman" w:hAnsi="Times New Roman" w:eastAsia="仿宋_GB2312" w:cs="仿宋_GB2312"/>
          <w:color w:val="auto"/>
          <w:kern w:val="2"/>
          <w:sz w:val="32"/>
          <w:szCs w:val="32"/>
          <w:highlight w:val="none"/>
          <w:lang w:val="en-US" w:eastAsia="zh-CN" w:bidi="ar-SA"/>
        </w:rPr>
        <w:t>万元，完成预算100%。</w:t>
      </w:r>
    </w:p>
    <w:p w14:paraId="5402BDEB">
      <w:pPr>
        <w:pStyle w:val="5"/>
        <w:spacing w:before="93"/>
        <w:ind w:firstLine="633" w:firstLineChars="198"/>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11.医疗卫生与计划生育支出（类）行政事业单位医疗（款）事业单位医疗（项）:支出决算为</w:t>
      </w:r>
      <w:r>
        <w:rPr>
          <w:rFonts w:hint="eastAsia" w:ascii="Times New Roman" w:hAnsi="Times New Roman" w:cs="仿宋_GB2312"/>
          <w:color w:val="auto"/>
          <w:kern w:val="2"/>
          <w:sz w:val="32"/>
          <w:szCs w:val="32"/>
          <w:highlight w:val="none"/>
          <w:lang w:val="en-US" w:eastAsia="zh-CN" w:bidi="ar-SA"/>
        </w:rPr>
        <w:t>10</w:t>
      </w:r>
      <w:r>
        <w:rPr>
          <w:rFonts w:hint="eastAsia" w:ascii="Times New Roman" w:hAnsi="Times New Roman" w:eastAsia="仿宋_GB2312" w:cs="仿宋_GB2312"/>
          <w:color w:val="auto"/>
          <w:kern w:val="2"/>
          <w:sz w:val="32"/>
          <w:szCs w:val="32"/>
          <w:highlight w:val="none"/>
          <w:lang w:val="en-US" w:eastAsia="zh-CN" w:bidi="ar-SA"/>
        </w:rPr>
        <w:t>万元，完成预算100%。</w:t>
      </w:r>
    </w:p>
    <w:p w14:paraId="0C404B47">
      <w:pPr>
        <w:pStyle w:val="5"/>
        <w:spacing w:before="93"/>
        <w:ind w:firstLine="633" w:firstLineChars="198"/>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12.医疗卫生与计划生育支出（类）行政事业单位医疗（款）公务员医疗补助（项）:支出决算为</w:t>
      </w:r>
      <w:r>
        <w:rPr>
          <w:rFonts w:hint="eastAsia" w:ascii="Times New Roman" w:hAnsi="Times New Roman" w:cs="仿宋_GB2312"/>
          <w:color w:val="auto"/>
          <w:kern w:val="2"/>
          <w:sz w:val="32"/>
          <w:szCs w:val="32"/>
          <w:highlight w:val="none"/>
          <w:lang w:val="en-US" w:eastAsia="zh-CN" w:bidi="ar-SA"/>
        </w:rPr>
        <w:t>6.72</w:t>
      </w:r>
      <w:r>
        <w:rPr>
          <w:rFonts w:hint="eastAsia" w:ascii="Times New Roman" w:hAnsi="Times New Roman" w:eastAsia="仿宋_GB2312" w:cs="仿宋_GB2312"/>
          <w:color w:val="auto"/>
          <w:kern w:val="2"/>
          <w:sz w:val="32"/>
          <w:szCs w:val="32"/>
          <w:highlight w:val="none"/>
          <w:lang w:val="en-US" w:eastAsia="zh-CN" w:bidi="ar-SA"/>
        </w:rPr>
        <w:t>万元，完成预算100%。</w:t>
      </w:r>
    </w:p>
    <w:p w14:paraId="3153CABE">
      <w:pPr>
        <w:pStyle w:val="5"/>
        <w:spacing w:before="93"/>
        <w:ind w:firstLine="633" w:firstLineChars="198"/>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13.医疗卫生与计划生育支出（类）行政事业单位医疗（款）其他行政事业单位医疗支出（项）:支出决算为</w:t>
      </w:r>
      <w:r>
        <w:rPr>
          <w:rFonts w:hint="eastAsia" w:ascii="Times New Roman" w:hAnsi="Times New Roman" w:cs="仿宋_GB2312"/>
          <w:color w:val="auto"/>
          <w:kern w:val="2"/>
          <w:sz w:val="32"/>
          <w:szCs w:val="32"/>
          <w:highlight w:val="none"/>
          <w:lang w:val="en-US" w:eastAsia="zh-CN" w:bidi="ar-SA"/>
        </w:rPr>
        <w:t>6.22</w:t>
      </w:r>
      <w:r>
        <w:rPr>
          <w:rFonts w:hint="eastAsia" w:ascii="Times New Roman" w:hAnsi="Times New Roman" w:eastAsia="仿宋_GB2312" w:cs="仿宋_GB2312"/>
          <w:color w:val="auto"/>
          <w:kern w:val="2"/>
          <w:sz w:val="32"/>
          <w:szCs w:val="32"/>
          <w:highlight w:val="none"/>
          <w:lang w:val="en-US" w:eastAsia="zh-CN" w:bidi="ar-SA"/>
        </w:rPr>
        <w:t>万元，完成预算100%。</w:t>
      </w:r>
    </w:p>
    <w:p w14:paraId="44BB8B5D">
      <w:pPr>
        <w:pStyle w:val="5"/>
        <w:spacing w:before="93"/>
        <w:ind w:firstLine="633" w:firstLineChars="198"/>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14.住房保障支出（类）住房改革支出（款）住房公积金（项）:支出决算为</w:t>
      </w:r>
      <w:r>
        <w:rPr>
          <w:rFonts w:hint="eastAsia" w:ascii="Times New Roman" w:hAnsi="Times New Roman" w:cs="仿宋_GB2312"/>
          <w:color w:val="auto"/>
          <w:kern w:val="2"/>
          <w:sz w:val="32"/>
          <w:szCs w:val="32"/>
          <w:highlight w:val="none"/>
          <w:lang w:val="en-US" w:eastAsia="zh-CN" w:bidi="ar-SA"/>
        </w:rPr>
        <w:t>101.56</w:t>
      </w:r>
      <w:r>
        <w:rPr>
          <w:rFonts w:hint="eastAsia" w:ascii="Times New Roman" w:hAnsi="Times New Roman" w:eastAsia="仿宋_GB2312" w:cs="仿宋_GB2312"/>
          <w:color w:val="auto"/>
          <w:kern w:val="2"/>
          <w:sz w:val="32"/>
          <w:szCs w:val="32"/>
          <w:highlight w:val="none"/>
          <w:lang w:val="en-US" w:eastAsia="zh-CN" w:bidi="ar-SA"/>
        </w:rPr>
        <w:t>万元，完成预算100%。</w:t>
      </w:r>
    </w:p>
    <w:p w14:paraId="41560334">
      <w:pPr>
        <w:pStyle w:val="5"/>
        <w:spacing w:before="93"/>
        <w:ind w:firstLine="633" w:firstLineChars="198"/>
        <w:rPr>
          <w:rFonts w:hint="eastAsia"/>
          <w:lang w:val="en-US" w:eastAsia="zh-CN"/>
        </w:rPr>
      </w:pPr>
      <w:r>
        <w:rPr>
          <w:rFonts w:hint="eastAsia" w:ascii="Times New Roman" w:hAnsi="Times New Roman" w:eastAsia="仿宋_GB2312" w:cs="仿宋_GB2312"/>
          <w:color w:val="auto"/>
          <w:kern w:val="2"/>
          <w:sz w:val="32"/>
          <w:szCs w:val="32"/>
          <w:highlight w:val="none"/>
          <w:lang w:val="en-US" w:eastAsia="zh-CN" w:bidi="ar-SA"/>
        </w:rPr>
        <w:t>15.住房保障支出（类）住房改革支出（款）购房补贴（项）:支出决算为</w:t>
      </w:r>
      <w:r>
        <w:rPr>
          <w:rFonts w:hint="eastAsia" w:ascii="Times New Roman" w:hAnsi="Times New Roman" w:cs="仿宋_GB2312"/>
          <w:color w:val="auto"/>
          <w:kern w:val="2"/>
          <w:sz w:val="32"/>
          <w:szCs w:val="32"/>
          <w:highlight w:val="none"/>
          <w:lang w:val="en-US" w:eastAsia="zh-CN" w:bidi="ar-SA"/>
        </w:rPr>
        <w:t>30.17</w:t>
      </w:r>
      <w:r>
        <w:rPr>
          <w:rFonts w:hint="eastAsia" w:ascii="Times New Roman" w:hAnsi="Times New Roman" w:eastAsia="仿宋_GB2312" w:cs="仿宋_GB2312"/>
          <w:color w:val="auto"/>
          <w:kern w:val="2"/>
          <w:sz w:val="32"/>
          <w:szCs w:val="32"/>
          <w:highlight w:val="none"/>
          <w:lang w:val="en-US" w:eastAsia="zh-CN" w:bidi="ar-SA"/>
        </w:rPr>
        <w:t>万元，完成预算100%。</w:t>
      </w:r>
    </w:p>
    <w:p w14:paraId="5C0D44F9">
      <w:pPr>
        <w:tabs>
          <w:tab w:val="right" w:pos="8306"/>
        </w:tabs>
        <w:spacing w:line="600" w:lineRule="exact"/>
        <w:ind w:firstLine="640"/>
        <w:outlineLvl w:val="1"/>
        <w:rPr>
          <w:rStyle w:val="29"/>
          <w:rFonts w:ascii="Times New Roman" w:hAnsi="Times New Roman"/>
          <w:color w:val="auto"/>
          <w:highlight w:val="none"/>
        </w:rPr>
      </w:pPr>
      <w:bookmarkStart w:id="36" w:name="_Toc15396608"/>
      <w:bookmarkStart w:id="37" w:name="_Toc15377214"/>
      <w:r>
        <w:rPr>
          <w:rFonts w:hint="eastAsia" w:ascii="Times New Roman" w:hAnsi="Times New Roman" w:eastAsia="黑体"/>
          <w:color w:val="auto"/>
          <w:sz w:val="32"/>
          <w:szCs w:val="32"/>
          <w:highlight w:val="none"/>
        </w:rPr>
        <w:t>六</w:t>
      </w:r>
      <w:r>
        <w:rPr>
          <w:rFonts w:hint="eastAsia" w:ascii="Times New Roman" w:hAnsi="Times New Roman" w:eastAsia="黑体"/>
          <w:b/>
          <w:color w:val="auto"/>
          <w:sz w:val="32"/>
          <w:szCs w:val="32"/>
          <w:highlight w:val="none"/>
        </w:rPr>
        <w:t>、一</w:t>
      </w:r>
      <w:r>
        <w:rPr>
          <w:rStyle w:val="29"/>
          <w:rFonts w:hint="eastAsia" w:ascii="Times New Roman" w:hAnsi="Times New Roman" w:eastAsia="黑体"/>
          <w:b w:val="0"/>
          <w:color w:val="auto"/>
          <w:highlight w:val="none"/>
        </w:rPr>
        <w:t>般公共预算财政拨款基本支出决算情况说明</w:t>
      </w:r>
      <w:bookmarkEnd w:id="36"/>
      <w:bookmarkEnd w:id="37"/>
      <w:r>
        <w:rPr>
          <w:rStyle w:val="29"/>
          <w:rFonts w:ascii="Times New Roman" w:hAnsi="Times New Roman" w:eastAsia="黑体"/>
          <w:b w:val="0"/>
          <w:color w:val="auto"/>
          <w:highlight w:val="none"/>
        </w:rPr>
        <w:tab/>
      </w:r>
    </w:p>
    <w:p w14:paraId="4404B84B">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2024年度一般公共预算财政拨款基本支出</w:t>
      </w:r>
      <w:r>
        <w:rPr>
          <w:rFonts w:hint="eastAsia" w:ascii="仿宋_GB2312" w:hAnsi="仿宋_GB2312" w:eastAsia="仿宋_GB2312" w:cs="仿宋_GB2312"/>
          <w:sz w:val="32"/>
          <w:szCs w:val="32"/>
          <w:lang w:val="en-US" w:eastAsia="zh-CN"/>
        </w:rPr>
        <w:t>1626.35</w:t>
      </w:r>
      <w:r>
        <w:rPr>
          <w:rFonts w:hint="eastAsia" w:ascii="仿宋_GB2312" w:hAnsi="仿宋_GB2312" w:eastAsia="仿宋_GB2312" w:cs="仿宋_GB2312"/>
          <w:color w:val="auto"/>
          <w:kern w:val="2"/>
          <w:sz w:val="32"/>
          <w:szCs w:val="32"/>
          <w:highlight w:val="none"/>
          <w:lang w:val="en-US" w:eastAsia="zh-CN" w:bidi="ar-SA"/>
        </w:rPr>
        <w:t>万</w:t>
      </w:r>
      <w:r>
        <w:rPr>
          <w:rFonts w:hint="eastAsia" w:ascii="Times New Roman" w:hAnsi="Times New Roman" w:eastAsia="仿宋_GB2312" w:cs="仿宋_GB2312"/>
          <w:color w:val="auto"/>
          <w:kern w:val="2"/>
          <w:sz w:val="32"/>
          <w:szCs w:val="32"/>
          <w:highlight w:val="none"/>
          <w:lang w:val="en-US" w:eastAsia="zh-CN" w:bidi="ar-SA"/>
        </w:rPr>
        <w:t>元，其中：</w:t>
      </w:r>
    </w:p>
    <w:p w14:paraId="588B92BA">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人员经费</w:t>
      </w:r>
      <w:r>
        <w:rPr>
          <w:rFonts w:hint="eastAsia" w:ascii="仿宋_GB2312" w:hAnsi="仿宋_GB2312" w:eastAsia="仿宋_GB2312" w:cs="仿宋_GB2312"/>
          <w:sz w:val="32"/>
          <w:szCs w:val="32"/>
          <w:lang w:val="en-US" w:eastAsia="zh-CN"/>
        </w:rPr>
        <w:t>1366.81</w:t>
      </w:r>
      <w:r>
        <w:rPr>
          <w:rFonts w:hint="eastAsia" w:ascii="仿宋_GB2312" w:hAnsi="仿宋_GB2312" w:eastAsia="仿宋_GB2312" w:cs="仿宋_GB2312"/>
          <w:color w:val="auto"/>
          <w:kern w:val="2"/>
          <w:sz w:val="32"/>
          <w:szCs w:val="32"/>
          <w:highlight w:val="none"/>
          <w:lang w:val="en-US" w:eastAsia="zh-CN" w:bidi="ar-SA"/>
        </w:rPr>
        <w:t>万</w:t>
      </w:r>
      <w:r>
        <w:rPr>
          <w:rFonts w:hint="eastAsia" w:ascii="Times New Roman" w:hAnsi="Times New Roman" w:eastAsia="仿宋_GB2312" w:cs="仿宋_GB2312"/>
          <w:color w:val="auto"/>
          <w:kern w:val="2"/>
          <w:sz w:val="32"/>
          <w:szCs w:val="32"/>
          <w:highlight w:val="none"/>
          <w:lang w:val="en-US" w:eastAsia="zh-CN" w:bidi="ar-SA"/>
        </w:rPr>
        <w:t>元，主要包括：基本工资、津贴补贴、奖金、绩效工资、机关事业单位基本养老保险缴费、职业年金缴费、其他社会保障缴费、其他工资福利支出、退休费、生活补助、医疗费补助、奖励金、住房公积金、其他对个人和家庭的补助支出等。</w:t>
      </w:r>
      <w:r>
        <w:rPr>
          <w:rFonts w:hint="eastAsia" w:ascii="Times New Roman" w:hAnsi="Times New Roman" w:eastAsia="仿宋_GB2312" w:cs="仿宋_GB2312"/>
          <w:color w:val="auto"/>
          <w:kern w:val="2"/>
          <w:sz w:val="32"/>
          <w:szCs w:val="32"/>
          <w:highlight w:val="none"/>
          <w:lang w:val="en-US" w:eastAsia="zh-CN" w:bidi="ar-SA"/>
        </w:rPr>
        <w:br w:type="textWrapping"/>
      </w:r>
      <w:r>
        <w:rPr>
          <w:rFonts w:hint="eastAsia" w:ascii="Times New Roman" w:hAnsi="Times New Roman" w:eastAsia="仿宋_GB2312" w:cs="仿宋_GB2312"/>
          <w:color w:val="auto"/>
          <w:kern w:val="2"/>
          <w:sz w:val="32"/>
          <w:szCs w:val="32"/>
          <w:highlight w:val="none"/>
          <w:lang w:val="en-US" w:eastAsia="zh-CN" w:bidi="ar-SA"/>
        </w:rPr>
        <w:t>　　公用经费</w:t>
      </w:r>
      <w:r>
        <w:rPr>
          <w:rFonts w:hint="eastAsia" w:ascii="仿宋_GB2312" w:hAnsi="仿宋_GB2312" w:eastAsia="仿宋_GB2312" w:cs="仿宋_GB2312"/>
          <w:sz w:val="32"/>
          <w:szCs w:val="32"/>
          <w:lang w:val="en-US" w:eastAsia="zh-CN"/>
        </w:rPr>
        <w:t>259.54</w:t>
      </w:r>
      <w:r>
        <w:rPr>
          <w:rFonts w:hint="eastAsia" w:ascii="仿宋_GB2312" w:hAnsi="仿宋_GB2312" w:eastAsia="仿宋_GB2312" w:cs="仿宋_GB2312"/>
          <w:color w:val="auto"/>
          <w:kern w:val="2"/>
          <w:sz w:val="32"/>
          <w:szCs w:val="32"/>
          <w:highlight w:val="none"/>
          <w:lang w:val="en-US" w:eastAsia="zh-CN" w:bidi="ar-SA"/>
        </w:rPr>
        <w:t>万</w:t>
      </w:r>
      <w:r>
        <w:rPr>
          <w:rFonts w:hint="eastAsia" w:ascii="Times New Roman" w:hAnsi="Times New Roman" w:eastAsia="仿宋_GB2312" w:cs="仿宋_GB2312"/>
          <w:color w:val="auto"/>
          <w:kern w:val="2"/>
          <w:sz w:val="32"/>
          <w:szCs w:val="32"/>
          <w:highlight w:val="none"/>
          <w:lang w:val="en-US" w:eastAsia="zh-CN" w:bidi="ar-SA"/>
        </w:rPr>
        <w:t>元，主要包括：办公费、印刷费、咨询费、手续费、水费、电费、邮电费、取暖费、物业管理费、差旅费、维修（护）费、租赁费、会议费、培训费、公务接待费、劳务费、委托业务费、工会经费、福利费、公务用车运行维护费、其他交通费、税金及附加费用、其他商品和服务支出、办公设备购置等。</w:t>
      </w:r>
    </w:p>
    <w:p w14:paraId="7AF13765">
      <w:pPr>
        <w:spacing w:line="600" w:lineRule="exact"/>
        <w:ind w:firstLine="640"/>
        <w:outlineLvl w:val="1"/>
        <w:rPr>
          <w:rStyle w:val="29"/>
          <w:rFonts w:ascii="Times New Roman" w:hAnsi="Times New Roman" w:eastAsia="黑体"/>
          <w:b w:val="0"/>
          <w:color w:val="auto"/>
          <w:highlight w:val="none"/>
        </w:rPr>
      </w:pPr>
      <w:bookmarkStart w:id="38" w:name="_Toc15396609"/>
      <w:bookmarkStart w:id="39" w:name="_Toc15377215"/>
      <w:r>
        <w:rPr>
          <w:rFonts w:hint="eastAsia" w:ascii="Times New Roman" w:hAnsi="Times New Roman" w:eastAsia="黑体"/>
          <w:color w:val="auto"/>
          <w:sz w:val="32"/>
          <w:szCs w:val="32"/>
          <w:highlight w:val="none"/>
        </w:rPr>
        <w:t>七、</w:t>
      </w:r>
      <w:r>
        <w:rPr>
          <w:rStyle w:val="29"/>
          <w:rFonts w:hint="eastAsia" w:ascii="Times New Roman" w:hAnsi="Times New Roman" w:eastAsia="黑体"/>
          <w:b w:val="0"/>
          <w:color w:val="auto"/>
          <w:highlight w:val="none"/>
        </w:rPr>
        <w:t>财政拨款</w:t>
      </w:r>
      <w:r>
        <w:rPr>
          <w:rStyle w:val="29"/>
          <w:rFonts w:hint="eastAsia" w:ascii="Times New Roman" w:hAnsi="Times New Roman" w:eastAsia="黑体"/>
          <w:color w:val="auto"/>
          <w:highlight w:val="none"/>
        </w:rPr>
        <w:t>“</w:t>
      </w:r>
      <w:r>
        <w:rPr>
          <w:rStyle w:val="29"/>
          <w:rFonts w:hint="eastAsia" w:ascii="Times New Roman" w:hAnsi="Times New Roman" w:eastAsia="黑体"/>
          <w:b w:val="0"/>
          <w:color w:val="auto"/>
          <w:highlight w:val="none"/>
        </w:rPr>
        <w:t>三公”经费支出决算情况说明</w:t>
      </w:r>
      <w:bookmarkEnd w:id="38"/>
      <w:bookmarkEnd w:id="39"/>
    </w:p>
    <w:p w14:paraId="5364524C">
      <w:pPr>
        <w:spacing w:line="600" w:lineRule="exact"/>
        <w:ind w:firstLine="643" w:firstLineChars="200"/>
        <w:outlineLvl w:val="2"/>
        <w:rPr>
          <w:rFonts w:hint="eastAsia" w:ascii="Times New Roman" w:hAnsi="Times New Roman" w:eastAsia="楷体_GB2312" w:cs="楷体_GB2312"/>
          <w:b/>
          <w:color w:val="auto"/>
          <w:sz w:val="32"/>
          <w:szCs w:val="32"/>
          <w:highlight w:val="none"/>
        </w:rPr>
      </w:pPr>
      <w:bookmarkStart w:id="40" w:name="_Toc15377216"/>
      <w:r>
        <w:rPr>
          <w:rFonts w:hint="eastAsia" w:ascii="Times New Roman" w:hAnsi="Times New Roman" w:eastAsia="楷体_GB2312" w:cs="楷体_GB2312"/>
          <w:b/>
          <w:color w:val="auto"/>
          <w:sz w:val="32"/>
          <w:szCs w:val="32"/>
          <w:highlight w:val="none"/>
        </w:rPr>
        <w:t>（一）“三公”经费财政拨款支出决算总体情况说明</w:t>
      </w:r>
      <w:bookmarkEnd w:id="40"/>
    </w:p>
    <w:p w14:paraId="3CB9CDB7">
      <w:pPr>
        <w:spacing w:line="600" w:lineRule="exact"/>
        <w:ind w:firstLine="640"/>
        <w:rPr>
          <w:rFonts w:hint="eastAsia" w:ascii="Times New Roman" w:hAnsi="Times New Roman" w:eastAsia="仿宋_GB2312" w:cs="仿宋_GB2312"/>
          <w:b/>
          <w:bCs/>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2024年度“三公”经费财政拨款支出决算为</w:t>
      </w:r>
      <w:r>
        <w:rPr>
          <w:rFonts w:hint="eastAsia" w:ascii="仿宋_GB2312" w:hAnsi="仿宋_GB2312" w:eastAsia="仿宋_GB2312" w:cs="仿宋_GB2312"/>
          <w:sz w:val="32"/>
          <w:szCs w:val="32"/>
          <w:lang w:val="en-US" w:eastAsia="zh-CN"/>
        </w:rPr>
        <w:t>26.39</w:t>
      </w:r>
      <w:r>
        <w:rPr>
          <w:rFonts w:hint="eastAsia" w:ascii="仿宋_GB2312" w:hAnsi="仿宋_GB2312" w:eastAsia="仿宋_GB2312" w:cs="仿宋_GB2312"/>
          <w:color w:val="auto"/>
          <w:kern w:val="2"/>
          <w:sz w:val="32"/>
          <w:szCs w:val="32"/>
          <w:highlight w:val="none"/>
          <w:lang w:val="en-US" w:eastAsia="zh-CN" w:bidi="ar-SA"/>
        </w:rPr>
        <w:t>万元，完成预算</w:t>
      </w:r>
      <w:r>
        <w:rPr>
          <w:rFonts w:hint="eastAsia" w:ascii="仿宋_GB2312" w:hAnsi="仿宋_GB2312" w:eastAsia="仿宋_GB2312" w:cs="仿宋_GB2312"/>
          <w:sz w:val="32"/>
          <w:szCs w:val="32"/>
          <w:lang w:val="en-US" w:eastAsia="zh-CN"/>
        </w:rPr>
        <w:t>73</w:t>
      </w:r>
      <w:r>
        <w:rPr>
          <w:rFonts w:hint="eastAsia" w:ascii="仿宋_GB2312" w:hAnsi="仿宋_GB2312"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较上年度减少</w:t>
      </w:r>
      <w:r>
        <w:rPr>
          <w:rFonts w:hint="eastAsia" w:eastAsia="仿宋_GB2312" w:cs="仿宋_GB2312"/>
          <w:color w:val="auto"/>
          <w:kern w:val="2"/>
          <w:sz w:val="32"/>
          <w:szCs w:val="32"/>
          <w:highlight w:val="none"/>
          <w:lang w:val="en-US" w:eastAsia="zh-CN" w:bidi="ar-SA"/>
        </w:rPr>
        <w:t>1.91</w:t>
      </w:r>
      <w:r>
        <w:rPr>
          <w:rFonts w:hint="eastAsia" w:ascii="Times New Roman" w:hAnsi="Times New Roman" w:eastAsia="仿宋_GB2312" w:cs="仿宋_GB2312"/>
          <w:color w:val="auto"/>
          <w:kern w:val="2"/>
          <w:sz w:val="32"/>
          <w:szCs w:val="32"/>
          <w:highlight w:val="none"/>
          <w:lang w:val="en-US" w:eastAsia="zh-CN" w:bidi="ar-SA"/>
        </w:rPr>
        <w:t>万元，下降</w:t>
      </w:r>
      <w:r>
        <w:rPr>
          <w:rFonts w:hint="eastAsia" w:eastAsia="仿宋_GB2312" w:cs="仿宋_GB2312"/>
          <w:color w:val="auto"/>
          <w:kern w:val="2"/>
          <w:sz w:val="32"/>
          <w:szCs w:val="32"/>
          <w:highlight w:val="none"/>
          <w:lang w:val="en-US" w:eastAsia="zh-CN" w:bidi="ar-SA"/>
        </w:rPr>
        <w:t>7</w:t>
      </w:r>
      <w:r>
        <w:rPr>
          <w:rFonts w:hint="eastAsia" w:ascii="Times New Roman" w:hAnsi="Times New Roman" w:eastAsia="仿宋_GB2312" w:cs="仿宋_GB2312"/>
          <w:color w:val="auto"/>
          <w:kern w:val="2"/>
          <w:sz w:val="32"/>
          <w:szCs w:val="32"/>
          <w:highlight w:val="none"/>
          <w:lang w:val="en-US" w:eastAsia="zh-CN" w:bidi="ar-SA"/>
        </w:rPr>
        <w:t>%。决算数小于预算数的主要原因是</w:t>
      </w:r>
      <w:r>
        <w:rPr>
          <w:rFonts w:hint="eastAsia" w:eastAsia="仿宋_GB2312" w:cs="仿宋_GB2312"/>
          <w:color w:val="auto"/>
          <w:kern w:val="2"/>
          <w:sz w:val="32"/>
          <w:szCs w:val="32"/>
          <w:highlight w:val="none"/>
          <w:lang w:val="en-US" w:eastAsia="zh-CN" w:bidi="ar-SA"/>
        </w:rPr>
        <w:t>厉行节约，规范公务接待。</w:t>
      </w:r>
    </w:p>
    <w:p w14:paraId="0DEFB80F">
      <w:pPr>
        <w:spacing w:line="600" w:lineRule="exact"/>
        <w:ind w:firstLine="643" w:firstLineChars="200"/>
        <w:outlineLvl w:val="2"/>
        <w:rPr>
          <w:rFonts w:hint="eastAsia" w:ascii="Times New Roman" w:hAnsi="Times New Roman" w:eastAsia="楷体_GB2312" w:cs="楷体_GB2312"/>
          <w:b/>
          <w:color w:val="auto"/>
          <w:sz w:val="32"/>
          <w:szCs w:val="32"/>
          <w:highlight w:val="none"/>
        </w:rPr>
      </w:pPr>
      <w:bookmarkStart w:id="41" w:name="_Toc15377217"/>
      <w:r>
        <w:rPr>
          <w:rFonts w:hint="eastAsia" w:ascii="Times New Roman" w:hAnsi="Times New Roman" w:eastAsia="楷体_GB2312" w:cs="楷体_GB2312"/>
          <w:b/>
          <w:color w:val="auto"/>
          <w:sz w:val="32"/>
          <w:szCs w:val="32"/>
          <w:highlight w:val="none"/>
        </w:rPr>
        <w:t>（二）“三公”经费财政拨款支出决算具体情况说明</w:t>
      </w:r>
      <w:bookmarkEnd w:id="41"/>
    </w:p>
    <w:p w14:paraId="32042A2D">
      <w:pPr>
        <w:spacing w:line="600" w:lineRule="exact"/>
        <w:ind w:firstLine="640"/>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2024年度“三公”经费财政拨款支出决算中，因公出国（境）费支出决算</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color w:val="auto"/>
          <w:kern w:val="2"/>
          <w:sz w:val="32"/>
          <w:szCs w:val="32"/>
          <w:highlight w:val="none"/>
          <w:lang w:val="en-US" w:eastAsia="zh-CN" w:bidi="ar-SA"/>
        </w:rPr>
        <w:t>万元，占0%；公务用车购置及运行维护费支出决算</w:t>
      </w:r>
      <w:r>
        <w:rPr>
          <w:rFonts w:hint="eastAsia" w:ascii="仿宋_GB2312" w:hAnsi="仿宋_GB2312" w:eastAsia="仿宋_GB2312" w:cs="仿宋_GB2312"/>
          <w:sz w:val="32"/>
          <w:szCs w:val="32"/>
          <w:lang w:val="en-US" w:eastAsia="zh-CN"/>
        </w:rPr>
        <w:t>22.08</w:t>
      </w:r>
      <w:r>
        <w:rPr>
          <w:rFonts w:hint="eastAsia" w:ascii="仿宋_GB2312" w:hAnsi="仿宋_GB2312" w:eastAsia="仿宋_GB2312" w:cs="仿宋_GB2312"/>
          <w:color w:val="auto"/>
          <w:kern w:val="2"/>
          <w:sz w:val="32"/>
          <w:szCs w:val="32"/>
          <w:highlight w:val="none"/>
          <w:lang w:val="en-US" w:eastAsia="zh-CN" w:bidi="ar-SA"/>
        </w:rPr>
        <w:t>万元，占84%；公务接待费支出决算</w:t>
      </w:r>
      <w:r>
        <w:rPr>
          <w:rFonts w:hint="eastAsia" w:ascii="仿宋_GB2312" w:hAnsi="仿宋_GB2312" w:eastAsia="仿宋_GB2312" w:cs="仿宋_GB2312"/>
          <w:sz w:val="32"/>
          <w:szCs w:val="32"/>
          <w:lang w:val="en-US" w:eastAsia="zh-CN"/>
        </w:rPr>
        <w:t>4.31</w:t>
      </w:r>
      <w:r>
        <w:rPr>
          <w:rFonts w:hint="eastAsia" w:ascii="仿宋_GB2312" w:hAnsi="仿宋_GB2312" w:eastAsia="仿宋_GB2312" w:cs="仿宋_GB2312"/>
          <w:color w:val="auto"/>
          <w:kern w:val="2"/>
          <w:sz w:val="32"/>
          <w:szCs w:val="32"/>
          <w:highlight w:val="none"/>
          <w:lang w:val="en-US" w:eastAsia="zh-CN" w:bidi="ar-SA"/>
        </w:rPr>
        <w:t>万元，占16%。具体情况如下：</w:t>
      </w:r>
    </w:p>
    <w:p w14:paraId="45A2A7DA">
      <w:pPr>
        <w:spacing w:line="600" w:lineRule="exact"/>
        <w:ind w:firstLine="640"/>
        <w:rPr>
          <w:rFonts w:hint="eastAsia" w:ascii="仿宋_GB2312" w:hAnsi="仿宋_GB2312" w:eastAsia="仿宋_GB2312" w:cs="仿宋_GB2312"/>
          <w:color w:val="auto"/>
          <w:kern w:val="2"/>
          <w:sz w:val="32"/>
          <w:szCs w:val="32"/>
          <w:highlight w:val="none"/>
          <w:lang w:val="en-US" w:eastAsia="zh-CN" w:bidi="ar-SA"/>
        </w:rPr>
      </w:pPr>
    </w:p>
    <w:p w14:paraId="707092EE">
      <w:pPr>
        <w:spacing w:line="240" w:lineRule="auto"/>
        <w:ind w:firstLine="640"/>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drawing>
          <wp:inline distT="0" distB="0" distL="114300" distR="114300">
            <wp:extent cx="4867275" cy="2712720"/>
            <wp:effectExtent l="0" t="0" r="0" b="11430"/>
            <wp:docPr id="4"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
                    <pic:cNvPicPr>
                      <a:picLocks noChangeAspect="1"/>
                    </pic:cNvPicPr>
                  </pic:nvPicPr>
                  <pic:blipFill>
                    <a:blip r:embed="rId22"/>
                    <a:stretch>
                      <a:fillRect/>
                    </a:stretch>
                  </pic:blipFill>
                  <pic:spPr>
                    <a:xfrm>
                      <a:off x="0" y="0"/>
                      <a:ext cx="4867275" cy="2712720"/>
                    </a:xfrm>
                    <a:prstGeom prst="rect">
                      <a:avLst/>
                    </a:prstGeom>
                  </pic:spPr>
                </pic:pic>
              </a:graphicData>
            </a:graphic>
          </wp:inline>
        </w:drawing>
      </w:r>
    </w:p>
    <w:p w14:paraId="2A501387">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（图7：“三公”经费财政拨款支出结构）（饼状图）</w:t>
      </w:r>
    </w:p>
    <w:p w14:paraId="65F25E93">
      <w:pPr>
        <w:numPr>
          <w:ilvl w:val="0"/>
          <w:numId w:val="0"/>
        </w:numPr>
        <w:spacing w:line="600" w:lineRule="exact"/>
        <w:ind w:firstLine="643" w:firstLineChars="200"/>
        <w:rPr>
          <w:rFonts w:hint="eastAsia" w:eastAsia="仿宋_GB2312" w:cs="仿宋_GB2312"/>
          <w:color w:val="auto"/>
          <w:kern w:val="2"/>
          <w:sz w:val="32"/>
          <w:szCs w:val="32"/>
          <w:highlight w:val="none"/>
          <w:lang w:val="en-US" w:eastAsia="zh-CN" w:bidi="ar-SA"/>
        </w:rPr>
      </w:pPr>
      <w:r>
        <w:rPr>
          <w:rFonts w:hint="eastAsia" w:eastAsia="仿宋_GB2312" w:cs="仿宋_GB2312"/>
          <w:b/>
          <w:bCs/>
          <w:color w:val="auto"/>
          <w:kern w:val="2"/>
          <w:sz w:val="32"/>
          <w:szCs w:val="32"/>
          <w:highlight w:val="none"/>
          <w:lang w:val="en-US" w:eastAsia="zh-CN" w:bidi="ar-SA"/>
        </w:rPr>
        <w:t>1.</w:t>
      </w:r>
      <w:r>
        <w:rPr>
          <w:rFonts w:hint="eastAsia" w:ascii="Times New Roman" w:hAnsi="Times New Roman" w:eastAsia="仿宋_GB2312" w:cs="仿宋_GB2312"/>
          <w:b/>
          <w:bCs/>
          <w:color w:val="auto"/>
          <w:kern w:val="2"/>
          <w:sz w:val="32"/>
          <w:szCs w:val="32"/>
          <w:highlight w:val="none"/>
          <w:lang w:val="en-US" w:eastAsia="zh-CN" w:bidi="ar-SA"/>
        </w:rPr>
        <w:t>因公出国（境）经费支出</w:t>
      </w:r>
      <w:r>
        <w:rPr>
          <w:rFonts w:hint="eastAsia" w:eastAsia="仿宋_GB2312" w:cs="仿宋_GB2312"/>
          <w:b/>
          <w:bCs/>
          <w:color w:val="auto"/>
          <w:kern w:val="2"/>
          <w:sz w:val="32"/>
          <w:szCs w:val="32"/>
          <w:highlight w:val="none"/>
          <w:lang w:val="en-US" w:eastAsia="zh-CN" w:bidi="ar-SA"/>
        </w:rPr>
        <w:t>0</w:t>
      </w:r>
      <w:r>
        <w:rPr>
          <w:rFonts w:hint="eastAsia" w:ascii="Times New Roman" w:hAnsi="Times New Roman" w:eastAsia="仿宋_GB2312" w:cs="仿宋_GB2312"/>
          <w:b/>
          <w:bCs/>
          <w:color w:val="auto"/>
          <w:kern w:val="2"/>
          <w:sz w:val="32"/>
          <w:szCs w:val="32"/>
          <w:highlight w:val="none"/>
          <w:lang w:val="en-US" w:eastAsia="zh-CN" w:bidi="ar-SA"/>
        </w:rPr>
        <w:t>万元，完成预算</w:t>
      </w:r>
      <w:r>
        <w:rPr>
          <w:rFonts w:hint="eastAsia" w:eastAsia="仿宋_GB2312" w:cs="仿宋_GB2312"/>
          <w:b/>
          <w:bCs/>
          <w:color w:val="auto"/>
          <w:kern w:val="2"/>
          <w:sz w:val="32"/>
          <w:szCs w:val="32"/>
          <w:highlight w:val="none"/>
          <w:lang w:val="en-US" w:eastAsia="zh-CN" w:bidi="ar-SA"/>
        </w:rPr>
        <w:t>0</w:t>
      </w:r>
      <w:r>
        <w:rPr>
          <w:rFonts w:hint="eastAsia" w:ascii="Times New Roman" w:hAnsi="Times New Roman" w:eastAsia="仿宋_GB2312" w:cs="仿宋_GB2312"/>
          <w:b/>
          <w:bCs/>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全年安排因公出国（境）团</w:t>
      </w:r>
      <w:r>
        <w:rPr>
          <w:rFonts w:hint="eastAsia" w:ascii="仿宋_GB2312" w:hAnsi="仿宋_GB2312" w:eastAsia="仿宋_GB2312" w:cs="仿宋_GB2312"/>
          <w:color w:val="auto"/>
          <w:kern w:val="2"/>
          <w:sz w:val="32"/>
          <w:szCs w:val="32"/>
          <w:highlight w:val="none"/>
          <w:lang w:val="en-US" w:eastAsia="zh-CN" w:bidi="ar-SA"/>
        </w:rPr>
        <w:t>组</w:t>
      </w:r>
      <w:r>
        <w:rPr>
          <w:rFonts w:hint="eastAsia" w:ascii="仿宋_GB2312" w:hAnsi="仿宋_GB2312" w:eastAsia="仿宋_GB2312" w:cs="仿宋_GB2312"/>
          <w:sz w:val="32"/>
          <w:szCs w:val="32"/>
          <w:lang w:val="en-US" w:eastAsia="zh-CN"/>
        </w:rPr>
        <w:t>0</w:t>
      </w:r>
      <w:r>
        <w:rPr>
          <w:rFonts w:hint="eastAsia" w:ascii="Times New Roman" w:hAnsi="Times New Roman" w:eastAsia="仿宋_GB2312" w:cs="仿宋_GB2312"/>
          <w:color w:val="auto"/>
          <w:kern w:val="2"/>
          <w:sz w:val="32"/>
          <w:szCs w:val="32"/>
          <w:highlight w:val="none"/>
          <w:lang w:val="en-US" w:eastAsia="zh-CN" w:bidi="ar-SA"/>
        </w:rPr>
        <w:t>次，出国（境）</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color w:val="auto"/>
          <w:kern w:val="2"/>
          <w:sz w:val="32"/>
          <w:szCs w:val="32"/>
          <w:highlight w:val="none"/>
          <w:lang w:val="en-US" w:eastAsia="zh-CN" w:bidi="ar-SA"/>
        </w:rPr>
        <w:t>人</w:t>
      </w:r>
      <w:r>
        <w:rPr>
          <w:rFonts w:hint="eastAsia" w:ascii="Times New Roman" w:hAnsi="Times New Roman" w:eastAsia="仿宋_GB2312" w:cs="仿宋_GB2312"/>
          <w:color w:val="auto"/>
          <w:kern w:val="2"/>
          <w:sz w:val="32"/>
          <w:szCs w:val="32"/>
          <w:highlight w:val="none"/>
          <w:lang w:val="en-US" w:eastAsia="zh-CN" w:bidi="ar-SA"/>
        </w:rPr>
        <w:t>。因公出国（境）支出决算</w:t>
      </w:r>
      <w:r>
        <w:rPr>
          <w:rFonts w:hint="eastAsia" w:eastAsia="仿宋_GB2312" w:cs="仿宋_GB2312"/>
          <w:color w:val="auto"/>
          <w:kern w:val="2"/>
          <w:sz w:val="32"/>
          <w:szCs w:val="32"/>
          <w:highlight w:val="none"/>
          <w:lang w:val="en-US" w:eastAsia="zh-CN" w:bidi="ar-SA"/>
        </w:rPr>
        <w:t>与</w:t>
      </w:r>
      <w:r>
        <w:rPr>
          <w:rFonts w:hint="eastAsia" w:ascii="Times New Roman" w:hAnsi="Times New Roman" w:eastAsia="仿宋_GB2312" w:cs="仿宋_GB2312"/>
          <w:color w:val="auto"/>
          <w:kern w:val="2"/>
          <w:sz w:val="32"/>
          <w:szCs w:val="32"/>
          <w:highlight w:val="none"/>
          <w:lang w:val="en-US" w:eastAsia="zh-CN" w:bidi="ar-SA"/>
        </w:rPr>
        <w:t>2023年</w:t>
      </w:r>
      <w:r>
        <w:rPr>
          <w:rFonts w:hint="eastAsia" w:eastAsia="仿宋_GB2312" w:cs="仿宋_GB2312"/>
          <w:color w:val="auto"/>
          <w:kern w:val="2"/>
          <w:sz w:val="32"/>
          <w:szCs w:val="32"/>
          <w:highlight w:val="none"/>
          <w:lang w:val="en-US" w:eastAsia="zh-CN" w:bidi="ar-SA"/>
        </w:rPr>
        <w:t>持平。</w:t>
      </w:r>
    </w:p>
    <w:p w14:paraId="6F59D045">
      <w:pPr>
        <w:spacing w:line="600" w:lineRule="exact"/>
        <w:ind w:firstLine="640"/>
        <w:rPr>
          <w:rFonts w:hint="eastAsia" w:eastAsia="仿宋_GB2312" w:cs="仿宋_GB2312"/>
          <w:color w:val="auto"/>
          <w:kern w:val="2"/>
          <w:sz w:val="32"/>
          <w:szCs w:val="32"/>
          <w:highlight w:val="none"/>
          <w:lang w:val="en-US" w:eastAsia="zh-CN" w:bidi="ar-SA"/>
        </w:rPr>
      </w:pPr>
      <w:r>
        <w:rPr>
          <w:rFonts w:hint="eastAsia" w:ascii="Times New Roman" w:hAnsi="Times New Roman" w:eastAsia="仿宋_GB2312" w:cs="仿宋_GB2312"/>
          <w:b/>
          <w:bCs/>
          <w:color w:val="auto"/>
          <w:kern w:val="2"/>
          <w:sz w:val="32"/>
          <w:szCs w:val="32"/>
          <w:highlight w:val="none"/>
          <w:lang w:val="en-US" w:eastAsia="zh-CN" w:bidi="ar-SA"/>
        </w:rPr>
        <w:t>2.公务用车购置及运行维护费支出</w:t>
      </w:r>
      <w:r>
        <w:rPr>
          <w:rFonts w:hint="eastAsia" w:ascii="仿宋_GB2312" w:hAnsi="仿宋_GB2312" w:eastAsia="仿宋_GB2312" w:cs="仿宋_GB2312"/>
          <w:b/>
          <w:bCs/>
          <w:color w:val="auto"/>
          <w:kern w:val="2"/>
          <w:sz w:val="32"/>
          <w:szCs w:val="32"/>
          <w:highlight w:val="none"/>
          <w:lang w:val="en-US" w:eastAsia="zh-CN" w:bidi="ar-SA"/>
        </w:rPr>
        <w:t>22.08万</w:t>
      </w:r>
      <w:r>
        <w:rPr>
          <w:rFonts w:hint="eastAsia" w:ascii="Times New Roman" w:hAnsi="Times New Roman" w:eastAsia="仿宋_GB2312" w:cs="仿宋_GB2312"/>
          <w:b/>
          <w:bCs/>
          <w:color w:val="auto"/>
          <w:kern w:val="2"/>
          <w:sz w:val="32"/>
          <w:szCs w:val="32"/>
          <w:highlight w:val="none"/>
          <w:lang w:val="en-US" w:eastAsia="zh-CN" w:bidi="ar-SA"/>
        </w:rPr>
        <w:t>元</w:t>
      </w:r>
      <w:r>
        <w:rPr>
          <w:rFonts w:hint="eastAsia" w:eastAsia="仿宋_GB2312" w:cs="仿宋_GB2312"/>
          <w:b/>
          <w:bCs/>
          <w:color w:val="auto"/>
          <w:kern w:val="2"/>
          <w:sz w:val="32"/>
          <w:szCs w:val="32"/>
          <w:highlight w:val="none"/>
          <w:lang w:val="en-US" w:eastAsia="zh-CN" w:bidi="ar-SA"/>
        </w:rPr>
        <w:t>，</w:t>
      </w:r>
      <w:r>
        <w:rPr>
          <w:rFonts w:hint="eastAsia" w:ascii="Times New Roman" w:hAnsi="Times New Roman" w:eastAsia="仿宋_GB2312" w:cs="仿宋_GB2312"/>
          <w:b/>
          <w:bCs/>
          <w:color w:val="auto"/>
          <w:kern w:val="2"/>
          <w:sz w:val="32"/>
          <w:szCs w:val="32"/>
          <w:highlight w:val="none"/>
          <w:lang w:val="en-US" w:eastAsia="zh-CN" w:bidi="ar-SA"/>
        </w:rPr>
        <w:t>完成预算</w:t>
      </w:r>
      <w:r>
        <w:rPr>
          <w:rFonts w:hint="eastAsia" w:eastAsia="仿宋_GB2312" w:cs="仿宋_GB2312"/>
          <w:b/>
          <w:bCs/>
          <w:color w:val="auto"/>
          <w:kern w:val="2"/>
          <w:sz w:val="32"/>
          <w:szCs w:val="32"/>
          <w:highlight w:val="none"/>
          <w:lang w:val="en-US" w:eastAsia="zh-CN" w:bidi="ar-SA"/>
        </w:rPr>
        <w:t>123</w:t>
      </w:r>
      <w:r>
        <w:rPr>
          <w:rFonts w:hint="eastAsia" w:ascii="Times New Roman" w:hAnsi="Times New Roman" w:eastAsia="仿宋_GB2312" w:cs="仿宋_GB2312"/>
          <w:b/>
          <w:bCs/>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公务用车购置及运行维护费支出决算比2023年度增加</w:t>
      </w:r>
      <w:r>
        <w:rPr>
          <w:rFonts w:hint="eastAsia" w:eastAsia="仿宋_GB2312" w:cs="仿宋_GB2312"/>
          <w:color w:val="auto"/>
          <w:kern w:val="2"/>
          <w:sz w:val="32"/>
          <w:szCs w:val="32"/>
          <w:highlight w:val="none"/>
          <w:lang w:val="en-US" w:eastAsia="zh-CN" w:bidi="ar-SA"/>
        </w:rPr>
        <w:t>0.09</w:t>
      </w:r>
      <w:r>
        <w:rPr>
          <w:rFonts w:hint="eastAsia" w:ascii="Times New Roman" w:hAnsi="Times New Roman" w:eastAsia="仿宋_GB2312" w:cs="仿宋_GB2312"/>
          <w:color w:val="auto"/>
          <w:kern w:val="2"/>
          <w:sz w:val="32"/>
          <w:szCs w:val="32"/>
          <w:highlight w:val="none"/>
          <w:lang w:val="en-US" w:eastAsia="zh-CN" w:bidi="ar-SA"/>
        </w:rPr>
        <w:t>万元，增长</w:t>
      </w:r>
      <w:r>
        <w:rPr>
          <w:rFonts w:hint="eastAsia" w:eastAsia="仿宋_GB2312" w:cs="仿宋_GB2312"/>
          <w:color w:val="auto"/>
          <w:kern w:val="2"/>
          <w:sz w:val="32"/>
          <w:szCs w:val="32"/>
          <w:highlight w:val="none"/>
          <w:lang w:val="en-US" w:eastAsia="zh-CN" w:bidi="ar-SA"/>
        </w:rPr>
        <w:t>0.01</w:t>
      </w:r>
      <w:r>
        <w:rPr>
          <w:rFonts w:hint="eastAsia" w:ascii="Times New Roman" w:hAnsi="Times New Roman" w:eastAsia="仿宋_GB2312" w:cs="仿宋_GB2312"/>
          <w:color w:val="auto"/>
          <w:kern w:val="2"/>
          <w:sz w:val="32"/>
          <w:szCs w:val="32"/>
          <w:highlight w:val="none"/>
          <w:lang w:val="en-US" w:eastAsia="zh-CN" w:bidi="ar-SA"/>
        </w:rPr>
        <w:t>*%。主要原因是车辆老旧，维修增加</w:t>
      </w:r>
      <w:r>
        <w:rPr>
          <w:rFonts w:hint="eastAsia" w:eastAsia="仿宋_GB2312" w:cs="仿宋_GB2312"/>
          <w:color w:val="auto"/>
          <w:kern w:val="2"/>
          <w:sz w:val="32"/>
          <w:szCs w:val="32"/>
          <w:highlight w:val="none"/>
          <w:lang w:val="en-US" w:eastAsia="zh-CN" w:bidi="ar-SA"/>
        </w:rPr>
        <w:t>。</w:t>
      </w:r>
    </w:p>
    <w:p w14:paraId="1455BD03">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其中：公务用车购置支</w:t>
      </w:r>
      <w:r>
        <w:rPr>
          <w:rFonts w:hint="eastAsia" w:ascii="仿宋_GB2312" w:hAnsi="仿宋_GB2312" w:eastAsia="仿宋_GB2312" w:cs="仿宋_GB2312"/>
          <w:color w:val="auto"/>
          <w:kern w:val="2"/>
          <w:sz w:val="32"/>
          <w:szCs w:val="32"/>
          <w:highlight w:val="none"/>
          <w:lang w:val="en-US" w:eastAsia="zh-CN" w:bidi="ar-SA"/>
        </w:rPr>
        <w:t>出</w:t>
      </w:r>
      <w:r>
        <w:rPr>
          <w:rFonts w:hint="eastAsia" w:ascii="仿宋_GB2312" w:hAnsi="仿宋_GB2312" w:eastAsia="仿宋_GB2312" w:cs="仿宋_GB2312"/>
          <w:sz w:val="32"/>
          <w:szCs w:val="32"/>
          <w:lang w:val="en-US" w:eastAsia="zh-CN"/>
        </w:rPr>
        <w:t>0</w:t>
      </w:r>
      <w:r>
        <w:rPr>
          <w:rFonts w:hint="eastAsia" w:ascii="Times New Roman" w:hAnsi="Times New Roman" w:eastAsia="仿宋_GB2312" w:cs="仿宋_GB2312"/>
          <w:color w:val="auto"/>
          <w:kern w:val="2"/>
          <w:sz w:val="32"/>
          <w:szCs w:val="32"/>
          <w:highlight w:val="none"/>
          <w:lang w:val="en-US" w:eastAsia="zh-CN" w:bidi="ar-SA"/>
        </w:rPr>
        <w:t>万元。全年按规定更新购置公务用车</w:t>
      </w:r>
      <w:r>
        <w:rPr>
          <w:rFonts w:hint="eastAsia" w:eastAsia="仿宋_GB2312" w:cs="仿宋_GB2312"/>
          <w:color w:val="auto"/>
          <w:kern w:val="2"/>
          <w:sz w:val="32"/>
          <w:szCs w:val="32"/>
          <w:highlight w:val="none"/>
          <w:lang w:val="en-US" w:eastAsia="zh-CN" w:bidi="ar-SA"/>
        </w:rPr>
        <w:t>0</w:t>
      </w:r>
      <w:r>
        <w:rPr>
          <w:rFonts w:hint="eastAsia" w:ascii="Times New Roman" w:hAnsi="Times New Roman" w:eastAsia="仿宋_GB2312" w:cs="仿宋_GB2312"/>
          <w:color w:val="auto"/>
          <w:kern w:val="2"/>
          <w:sz w:val="32"/>
          <w:szCs w:val="32"/>
          <w:highlight w:val="none"/>
          <w:lang w:val="en-US" w:eastAsia="zh-CN" w:bidi="ar-SA"/>
        </w:rPr>
        <w:t>辆，其中：轿车</w:t>
      </w:r>
      <w:r>
        <w:rPr>
          <w:rFonts w:hint="eastAsia" w:eastAsia="仿宋_GB2312" w:cs="仿宋_GB2312"/>
          <w:color w:val="auto"/>
          <w:kern w:val="2"/>
          <w:sz w:val="32"/>
          <w:szCs w:val="32"/>
          <w:highlight w:val="none"/>
          <w:lang w:val="en-US" w:eastAsia="zh-CN" w:bidi="ar-SA"/>
        </w:rPr>
        <w:t>0</w:t>
      </w:r>
      <w:r>
        <w:rPr>
          <w:rFonts w:hint="eastAsia" w:ascii="Times New Roman" w:hAnsi="Times New Roman" w:eastAsia="仿宋_GB2312" w:cs="仿宋_GB2312"/>
          <w:color w:val="auto"/>
          <w:kern w:val="2"/>
          <w:sz w:val="32"/>
          <w:szCs w:val="32"/>
          <w:highlight w:val="none"/>
          <w:lang w:val="en-US" w:eastAsia="zh-CN" w:bidi="ar-SA"/>
        </w:rPr>
        <w:t>辆、金额</w:t>
      </w:r>
      <w:r>
        <w:rPr>
          <w:rFonts w:hint="eastAsia" w:eastAsia="仿宋_GB2312" w:cs="仿宋_GB2312"/>
          <w:color w:val="auto"/>
          <w:kern w:val="2"/>
          <w:sz w:val="32"/>
          <w:szCs w:val="32"/>
          <w:highlight w:val="none"/>
          <w:lang w:val="en-US" w:eastAsia="zh-CN" w:bidi="ar-SA"/>
        </w:rPr>
        <w:t>0</w:t>
      </w:r>
      <w:r>
        <w:rPr>
          <w:rFonts w:hint="eastAsia" w:ascii="Times New Roman" w:hAnsi="Times New Roman" w:eastAsia="仿宋_GB2312" w:cs="仿宋_GB2312"/>
          <w:color w:val="auto"/>
          <w:kern w:val="2"/>
          <w:sz w:val="32"/>
          <w:szCs w:val="32"/>
          <w:highlight w:val="none"/>
          <w:lang w:val="en-US" w:eastAsia="zh-CN" w:bidi="ar-SA"/>
        </w:rPr>
        <w:t>万元，越野车</w:t>
      </w:r>
      <w:r>
        <w:rPr>
          <w:rFonts w:hint="eastAsia" w:eastAsia="仿宋_GB2312" w:cs="仿宋_GB2312"/>
          <w:color w:val="auto"/>
          <w:kern w:val="2"/>
          <w:sz w:val="32"/>
          <w:szCs w:val="32"/>
          <w:highlight w:val="none"/>
          <w:lang w:val="en-US" w:eastAsia="zh-CN" w:bidi="ar-SA"/>
        </w:rPr>
        <w:t>0</w:t>
      </w:r>
      <w:r>
        <w:rPr>
          <w:rFonts w:hint="eastAsia" w:ascii="Times New Roman" w:hAnsi="Times New Roman" w:eastAsia="仿宋_GB2312" w:cs="仿宋_GB2312"/>
          <w:color w:val="auto"/>
          <w:kern w:val="2"/>
          <w:sz w:val="32"/>
          <w:szCs w:val="32"/>
          <w:highlight w:val="none"/>
          <w:lang w:val="en-US" w:eastAsia="zh-CN" w:bidi="ar-SA"/>
        </w:rPr>
        <w:t>辆、金额</w:t>
      </w:r>
      <w:r>
        <w:rPr>
          <w:rFonts w:hint="eastAsia" w:eastAsia="仿宋_GB2312" w:cs="仿宋_GB2312"/>
          <w:color w:val="auto"/>
          <w:kern w:val="2"/>
          <w:sz w:val="32"/>
          <w:szCs w:val="32"/>
          <w:highlight w:val="none"/>
          <w:lang w:val="en-US" w:eastAsia="zh-CN" w:bidi="ar-SA"/>
        </w:rPr>
        <w:t>0</w:t>
      </w:r>
      <w:r>
        <w:rPr>
          <w:rFonts w:hint="eastAsia" w:ascii="Times New Roman" w:hAnsi="Times New Roman" w:eastAsia="仿宋_GB2312" w:cs="仿宋_GB2312"/>
          <w:color w:val="auto"/>
          <w:kern w:val="2"/>
          <w:sz w:val="32"/>
          <w:szCs w:val="32"/>
          <w:highlight w:val="none"/>
          <w:lang w:val="en-US" w:eastAsia="zh-CN" w:bidi="ar-SA"/>
        </w:rPr>
        <w:t>万元，载客汽车</w:t>
      </w:r>
      <w:r>
        <w:rPr>
          <w:rFonts w:hint="eastAsia" w:eastAsia="仿宋_GB2312" w:cs="仿宋_GB2312"/>
          <w:color w:val="auto"/>
          <w:kern w:val="2"/>
          <w:sz w:val="32"/>
          <w:szCs w:val="32"/>
          <w:highlight w:val="none"/>
          <w:lang w:val="en-US" w:eastAsia="zh-CN" w:bidi="ar-SA"/>
        </w:rPr>
        <w:t>0</w:t>
      </w:r>
      <w:r>
        <w:rPr>
          <w:rFonts w:hint="eastAsia" w:ascii="Times New Roman" w:hAnsi="Times New Roman" w:eastAsia="仿宋_GB2312" w:cs="仿宋_GB2312"/>
          <w:color w:val="auto"/>
          <w:kern w:val="2"/>
          <w:sz w:val="32"/>
          <w:szCs w:val="32"/>
          <w:highlight w:val="none"/>
          <w:lang w:val="en-US" w:eastAsia="zh-CN" w:bidi="ar-SA"/>
        </w:rPr>
        <w:t>辆、金额</w:t>
      </w:r>
      <w:r>
        <w:rPr>
          <w:rFonts w:hint="eastAsia" w:eastAsia="仿宋_GB2312" w:cs="仿宋_GB2312"/>
          <w:color w:val="auto"/>
          <w:kern w:val="2"/>
          <w:sz w:val="32"/>
          <w:szCs w:val="32"/>
          <w:highlight w:val="none"/>
          <w:lang w:val="en-US" w:eastAsia="zh-CN" w:bidi="ar-SA"/>
        </w:rPr>
        <w:t>0</w:t>
      </w:r>
      <w:r>
        <w:rPr>
          <w:rFonts w:hint="eastAsia" w:ascii="Times New Roman" w:hAnsi="Times New Roman" w:eastAsia="仿宋_GB2312" w:cs="仿宋_GB2312"/>
          <w:color w:val="auto"/>
          <w:kern w:val="2"/>
          <w:sz w:val="32"/>
          <w:szCs w:val="32"/>
          <w:highlight w:val="none"/>
          <w:lang w:val="en-US" w:eastAsia="zh-CN" w:bidi="ar-SA"/>
        </w:rPr>
        <w:t>万元。截至2024年12月31日，单位共有公务用车</w:t>
      </w:r>
      <w:r>
        <w:rPr>
          <w:rFonts w:hint="eastAsia" w:eastAsia="仿宋_GB2312" w:cs="仿宋_GB2312"/>
          <w:color w:val="auto"/>
          <w:kern w:val="2"/>
          <w:sz w:val="32"/>
          <w:szCs w:val="32"/>
          <w:highlight w:val="none"/>
          <w:lang w:val="en-US" w:eastAsia="zh-CN" w:bidi="ar-SA"/>
        </w:rPr>
        <w:t>3</w:t>
      </w:r>
      <w:r>
        <w:rPr>
          <w:rFonts w:hint="eastAsia" w:ascii="Times New Roman" w:hAnsi="Times New Roman" w:eastAsia="仿宋_GB2312" w:cs="仿宋_GB2312"/>
          <w:color w:val="auto"/>
          <w:kern w:val="2"/>
          <w:sz w:val="32"/>
          <w:szCs w:val="32"/>
          <w:highlight w:val="none"/>
          <w:lang w:val="en-US" w:eastAsia="zh-CN" w:bidi="ar-SA"/>
        </w:rPr>
        <w:t>辆，其中：轿车</w:t>
      </w:r>
      <w:r>
        <w:rPr>
          <w:rFonts w:hint="eastAsia" w:eastAsia="仿宋_GB2312" w:cs="仿宋_GB2312"/>
          <w:color w:val="auto"/>
          <w:kern w:val="2"/>
          <w:sz w:val="32"/>
          <w:szCs w:val="32"/>
          <w:highlight w:val="none"/>
          <w:lang w:val="en-US" w:eastAsia="zh-CN" w:bidi="ar-SA"/>
        </w:rPr>
        <w:t>1</w:t>
      </w:r>
      <w:r>
        <w:rPr>
          <w:rFonts w:hint="eastAsia" w:ascii="Times New Roman" w:hAnsi="Times New Roman" w:eastAsia="仿宋_GB2312" w:cs="仿宋_GB2312"/>
          <w:color w:val="auto"/>
          <w:kern w:val="2"/>
          <w:sz w:val="32"/>
          <w:szCs w:val="32"/>
          <w:highlight w:val="none"/>
          <w:lang w:val="en-US" w:eastAsia="zh-CN" w:bidi="ar-SA"/>
        </w:rPr>
        <w:t>辆、越野车</w:t>
      </w:r>
      <w:r>
        <w:rPr>
          <w:rFonts w:hint="eastAsia" w:eastAsia="仿宋_GB2312" w:cs="仿宋_GB2312"/>
          <w:color w:val="auto"/>
          <w:kern w:val="2"/>
          <w:sz w:val="32"/>
          <w:szCs w:val="32"/>
          <w:highlight w:val="none"/>
          <w:lang w:val="en-US" w:eastAsia="zh-CN" w:bidi="ar-SA"/>
        </w:rPr>
        <w:t>2</w:t>
      </w:r>
      <w:r>
        <w:rPr>
          <w:rFonts w:hint="eastAsia" w:ascii="Times New Roman" w:hAnsi="Times New Roman" w:eastAsia="仿宋_GB2312" w:cs="仿宋_GB2312"/>
          <w:color w:val="auto"/>
          <w:kern w:val="2"/>
          <w:sz w:val="32"/>
          <w:szCs w:val="32"/>
          <w:highlight w:val="none"/>
          <w:lang w:val="en-US" w:eastAsia="zh-CN" w:bidi="ar-SA"/>
        </w:rPr>
        <w:t>辆、载客汽车</w:t>
      </w:r>
      <w:r>
        <w:rPr>
          <w:rFonts w:hint="eastAsia" w:eastAsia="仿宋_GB2312" w:cs="仿宋_GB2312"/>
          <w:color w:val="auto"/>
          <w:kern w:val="2"/>
          <w:sz w:val="32"/>
          <w:szCs w:val="32"/>
          <w:highlight w:val="none"/>
          <w:lang w:val="en-US" w:eastAsia="zh-CN" w:bidi="ar-SA"/>
        </w:rPr>
        <w:t>0</w:t>
      </w:r>
      <w:r>
        <w:rPr>
          <w:rFonts w:hint="eastAsia" w:ascii="Times New Roman" w:hAnsi="Times New Roman" w:eastAsia="仿宋_GB2312" w:cs="仿宋_GB2312"/>
          <w:color w:val="auto"/>
          <w:kern w:val="2"/>
          <w:sz w:val="32"/>
          <w:szCs w:val="32"/>
          <w:highlight w:val="none"/>
          <w:lang w:val="en-US" w:eastAsia="zh-CN" w:bidi="ar-SA"/>
        </w:rPr>
        <w:t>辆。</w:t>
      </w:r>
    </w:p>
    <w:p w14:paraId="4AC115F5">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公务用车运行维护费支</w:t>
      </w:r>
      <w:r>
        <w:rPr>
          <w:rFonts w:hint="eastAsia" w:ascii="仿宋_GB2312" w:hAnsi="仿宋_GB2312" w:eastAsia="仿宋_GB2312" w:cs="仿宋_GB2312"/>
          <w:color w:val="auto"/>
          <w:kern w:val="2"/>
          <w:sz w:val="32"/>
          <w:szCs w:val="32"/>
          <w:highlight w:val="none"/>
          <w:lang w:val="en-US" w:eastAsia="zh-CN" w:bidi="ar-SA"/>
        </w:rPr>
        <w:t>出</w:t>
      </w:r>
      <w:r>
        <w:rPr>
          <w:rFonts w:hint="eastAsia" w:ascii="仿宋_GB2312" w:hAnsi="仿宋_GB2312" w:eastAsia="仿宋_GB2312" w:cs="仿宋_GB2312"/>
          <w:sz w:val="32"/>
          <w:szCs w:val="32"/>
          <w:lang w:val="en-US" w:eastAsia="zh-CN"/>
        </w:rPr>
        <w:t>22.08</w:t>
      </w:r>
      <w:r>
        <w:rPr>
          <w:rFonts w:hint="eastAsia" w:ascii="Times New Roman" w:hAnsi="Times New Roman" w:eastAsia="仿宋_GB2312" w:cs="仿宋_GB2312"/>
          <w:color w:val="auto"/>
          <w:kern w:val="2"/>
          <w:sz w:val="32"/>
          <w:szCs w:val="32"/>
          <w:highlight w:val="none"/>
          <w:lang w:val="en-US" w:eastAsia="zh-CN" w:bidi="ar-SA"/>
        </w:rPr>
        <w:t>万元。主要用于</w:t>
      </w:r>
      <w:r>
        <w:rPr>
          <w:rFonts w:hint="eastAsia" w:ascii="仿宋" w:hAnsi="仿宋" w:eastAsia="仿宋" w:cs="Times New Roman"/>
          <w:color w:val="auto"/>
          <w:sz w:val="32"/>
          <w:szCs w:val="32"/>
          <w:highlight w:val="none"/>
        </w:rPr>
        <w:t>保障委机关及综治、维稳、大调解、防邪、扫黑除恶、基层治理、平安建设等</w:t>
      </w:r>
      <w:r>
        <w:rPr>
          <w:rFonts w:hint="eastAsia" w:ascii="Times New Roman" w:hAnsi="Times New Roman" w:eastAsia="仿宋_GB2312" w:cs="仿宋_GB2312"/>
          <w:color w:val="auto"/>
          <w:kern w:val="2"/>
          <w:sz w:val="32"/>
          <w:szCs w:val="32"/>
          <w:highlight w:val="none"/>
          <w:lang w:val="en-US" w:eastAsia="zh-CN" w:bidi="ar-SA"/>
        </w:rPr>
        <w:t>所需的公务用车燃料费、维修费、过路过桥费、保险费等支出。</w:t>
      </w:r>
    </w:p>
    <w:p w14:paraId="42A92FCF">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b/>
          <w:bCs/>
          <w:color w:val="auto"/>
          <w:kern w:val="2"/>
          <w:sz w:val="32"/>
          <w:szCs w:val="32"/>
          <w:highlight w:val="none"/>
          <w:lang w:val="en-US" w:eastAsia="zh-CN" w:bidi="ar-SA"/>
        </w:rPr>
        <w:t>3.公务接待费支出</w:t>
      </w:r>
      <w:r>
        <w:rPr>
          <w:rFonts w:hint="eastAsia" w:ascii="仿宋_GB2312" w:hAnsi="仿宋_GB2312" w:eastAsia="仿宋_GB2312" w:cs="仿宋_GB2312"/>
          <w:b/>
          <w:bCs/>
          <w:color w:val="auto"/>
          <w:kern w:val="2"/>
          <w:sz w:val="32"/>
          <w:szCs w:val="32"/>
          <w:highlight w:val="none"/>
          <w:lang w:val="en-US" w:eastAsia="zh-CN" w:bidi="ar-SA"/>
        </w:rPr>
        <w:t>4.31万</w:t>
      </w:r>
      <w:r>
        <w:rPr>
          <w:rFonts w:hint="eastAsia" w:ascii="Times New Roman" w:hAnsi="Times New Roman" w:eastAsia="仿宋_GB2312" w:cs="仿宋_GB2312"/>
          <w:b/>
          <w:bCs/>
          <w:color w:val="auto"/>
          <w:kern w:val="2"/>
          <w:sz w:val="32"/>
          <w:szCs w:val="32"/>
          <w:highlight w:val="none"/>
          <w:lang w:val="en-US" w:eastAsia="zh-CN" w:bidi="ar-SA"/>
        </w:rPr>
        <w:t>元，完成预算</w:t>
      </w:r>
      <w:r>
        <w:rPr>
          <w:rFonts w:hint="eastAsia" w:eastAsia="仿宋_GB2312" w:cs="仿宋_GB2312"/>
          <w:b/>
          <w:bCs/>
          <w:color w:val="auto"/>
          <w:kern w:val="2"/>
          <w:sz w:val="32"/>
          <w:szCs w:val="32"/>
          <w:highlight w:val="none"/>
          <w:lang w:val="en-US" w:eastAsia="zh-CN" w:bidi="ar-SA"/>
        </w:rPr>
        <w:t>24</w:t>
      </w:r>
      <w:r>
        <w:rPr>
          <w:rFonts w:hint="eastAsia" w:ascii="Times New Roman" w:hAnsi="Times New Roman" w:eastAsia="仿宋_GB2312" w:cs="仿宋_GB2312"/>
          <w:b/>
          <w:bCs/>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公务接待费支出决算比2023年度减少</w:t>
      </w:r>
      <w:r>
        <w:rPr>
          <w:rFonts w:hint="eastAsia" w:eastAsia="仿宋_GB2312" w:cs="仿宋_GB2312"/>
          <w:color w:val="auto"/>
          <w:kern w:val="2"/>
          <w:sz w:val="32"/>
          <w:szCs w:val="32"/>
          <w:highlight w:val="none"/>
          <w:lang w:val="en-US" w:eastAsia="zh-CN" w:bidi="ar-SA"/>
        </w:rPr>
        <w:t>2</w:t>
      </w:r>
      <w:r>
        <w:rPr>
          <w:rFonts w:hint="eastAsia" w:ascii="Times New Roman" w:hAnsi="Times New Roman" w:eastAsia="仿宋_GB2312" w:cs="仿宋_GB2312"/>
          <w:color w:val="auto"/>
          <w:kern w:val="2"/>
          <w:sz w:val="32"/>
          <w:szCs w:val="32"/>
          <w:highlight w:val="none"/>
          <w:lang w:val="en-US" w:eastAsia="zh-CN" w:bidi="ar-SA"/>
        </w:rPr>
        <w:t>万元，下降</w:t>
      </w:r>
      <w:r>
        <w:rPr>
          <w:rFonts w:hint="eastAsia" w:eastAsia="仿宋_GB2312" w:cs="仿宋_GB2312"/>
          <w:color w:val="auto"/>
          <w:kern w:val="2"/>
          <w:sz w:val="32"/>
          <w:szCs w:val="32"/>
          <w:highlight w:val="none"/>
          <w:lang w:val="en-US" w:eastAsia="zh-CN" w:bidi="ar-SA"/>
        </w:rPr>
        <w:t>32</w:t>
      </w:r>
      <w:r>
        <w:rPr>
          <w:rFonts w:hint="eastAsia" w:ascii="Times New Roman" w:hAnsi="Times New Roman" w:eastAsia="仿宋_GB2312" w:cs="仿宋_GB2312"/>
          <w:color w:val="auto"/>
          <w:kern w:val="2"/>
          <w:sz w:val="32"/>
          <w:szCs w:val="32"/>
          <w:highlight w:val="none"/>
          <w:lang w:val="en-US" w:eastAsia="zh-CN" w:bidi="ar-SA"/>
        </w:rPr>
        <w:t>%。主要原因是</w:t>
      </w:r>
      <w:r>
        <w:rPr>
          <w:rFonts w:hint="eastAsia" w:eastAsia="仿宋_GB2312" w:cs="仿宋_GB2312"/>
          <w:color w:val="auto"/>
          <w:kern w:val="2"/>
          <w:sz w:val="32"/>
          <w:szCs w:val="32"/>
          <w:highlight w:val="none"/>
          <w:lang w:val="en-US" w:eastAsia="zh-CN" w:bidi="ar-SA"/>
        </w:rPr>
        <w:t>厉行节约，规范公务接待</w:t>
      </w:r>
      <w:r>
        <w:rPr>
          <w:rFonts w:hint="eastAsia" w:ascii="Times New Roman" w:hAnsi="Times New Roman" w:eastAsia="仿宋_GB2312" w:cs="仿宋_GB2312"/>
          <w:color w:val="auto"/>
          <w:kern w:val="2"/>
          <w:sz w:val="32"/>
          <w:szCs w:val="32"/>
          <w:highlight w:val="none"/>
          <w:lang w:val="en-US" w:eastAsia="zh-CN" w:bidi="ar-SA"/>
        </w:rPr>
        <w:t>。其中：</w:t>
      </w:r>
    </w:p>
    <w:p w14:paraId="276EECBB">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国内公务接待支</w:t>
      </w:r>
      <w:r>
        <w:rPr>
          <w:rFonts w:hint="eastAsia" w:ascii="仿宋_GB2312" w:hAnsi="仿宋_GB2312" w:eastAsia="仿宋_GB2312" w:cs="仿宋_GB2312"/>
          <w:color w:val="auto"/>
          <w:kern w:val="2"/>
          <w:sz w:val="32"/>
          <w:szCs w:val="32"/>
          <w:highlight w:val="none"/>
          <w:lang w:val="en-US" w:eastAsia="zh-CN" w:bidi="ar-SA"/>
        </w:rPr>
        <w:t>出</w:t>
      </w:r>
      <w:r>
        <w:rPr>
          <w:rFonts w:hint="eastAsia" w:ascii="仿宋_GB2312" w:hAnsi="仿宋_GB2312" w:eastAsia="仿宋_GB2312" w:cs="仿宋_GB2312"/>
          <w:sz w:val="32"/>
          <w:szCs w:val="32"/>
          <w:lang w:val="en-US" w:eastAsia="zh-CN"/>
        </w:rPr>
        <w:t>4.31</w:t>
      </w:r>
      <w:r>
        <w:rPr>
          <w:rFonts w:hint="eastAsia" w:ascii="仿宋_GB2312" w:hAnsi="仿宋_GB2312" w:eastAsia="仿宋_GB2312" w:cs="仿宋_GB2312"/>
          <w:color w:val="auto"/>
          <w:kern w:val="2"/>
          <w:sz w:val="32"/>
          <w:szCs w:val="32"/>
          <w:highlight w:val="none"/>
          <w:lang w:val="en-US" w:eastAsia="zh-CN" w:bidi="ar-SA"/>
        </w:rPr>
        <w:t>万</w:t>
      </w:r>
      <w:r>
        <w:rPr>
          <w:rFonts w:hint="eastAsia" w:ascii="Times New Roman" w:hAnsi="Times New Roman" w:eastAsia="仿宋_GB2312" w:cs="仿宋_GB2312"/>
          <w:color w:val="auto"/>
          <w:kern w:val="2"/>
          <w:sz w:val="32"/>
          <w:szCs w:val="32"/>
          <w:highlight w:val="none"/>
          <w:lang w:val="en-US" w:eastAsia="zh-CN" w:bidi="ar-SA"/>
        </w:rPr>
        <w:t>元，主要用于执行公务、开展业务活动开支的用餐费等。国内公务接</w:t>
      </w:r>
      <w:r>
        <w:rPr>
          <w:rFonts w:hint="eastAsia" w:ascii="仿宋_GB2312" w:hAnsi="仿宋_GB2312" w:eastAsia="仿宋_GB2312" w:cs="仿宋_GB2312"/>
          <w:color w:val="auto"/>
          <w:kern w:val="2"/>
          <w:sz w:val="32"/>
          <w:szCs w:val="32"/>
          <w:highlight w:val="none"/>
          <w:lang w:val="en-US" w:eastAsia="zh-CN" w:bidi="ar-SA"/>
        </w:rPr>
        <w:t>待</w:t>
      </w:r>
      <w:r>
        <w:rPr>
          <w:rFonts w:hint="eastAsia" w:ascii="仿宋_GB2312" w:hAnsi="仿宋_GB2312" w:eastAsia="仿宋_GB2312" w:cs="仿宋_GB2312"/>
          <w:sz w:val="32"/>
          <w:szCs w:val="32"/>
          <w:lang w:val="en-US" w:eastAsia="zh-CN"/>
        </w:rPr>
        <w:t>23</w:t>
      </w:r>
      <w:r>
        <w:rPr>
          <w:rFonts w:hint="eastAsia" w:ascii="仿宋_GB2312" w:hAnsi="仿宋_GB2312" w:eastAsia="仿宋_GB2312" w:cs="仿宋_GB2312"/>
          <w:color w:val="auto"/>
          <w:kern w:val="2"/>
          <w:sz w:val="32"/>
          <w:szCs w:val="32"/>
          <w:highlight w:val="none"/>
          <w:lang w:val="en-US" w:eastAsia="zh-CN" w:bidi="ar-SA"/>
        </w:rPr>
        <w:t>批次，</w:t>
      </w:r>
      <w:r>
        <w:rPr>
          <w:rFonts w:hint="eastAsia" w:ascii="仿宋_GB2312" w:hAnsi="仿宋_GB2312" w:eastAsia="仿宋_GB2312" w:cs="仿宋_GB2312"/>
          <w:sz w:val="32"/>
          <w:szCs w:val="32"/>
          <w:lang w:val="en-US" w:eastAsia="zh-CN"/>
        </w:rPr>
        <w:t>360</w:t>
      </w:r>
      <w:r>
        <w:rPr>
          <w:rFonts w:hint="eastAsia" w:ascii="Times New Roman" w:hAnsi="Times New Roman" w:eastAsia="仿宋_GB2312" w:cs="仿宋_GB2312"/>
          <w:color w:val="auto"/>
          <w:kern w:val="2"/>
          <w:sz w:val="32"/>
          <w:szCs w:val="32"/>
          <w:highlight w:val="none"/>
          <w:lang w:val="en-US" w:eastAsia="zh-CN" w:bidi="ar-SA"/>
        </w:rPr>
        <w:t>人次，共计支出</w:t>
      </w:r>
      <w:r>
        <w:rPr>
          <w:rFonts w:hint="eastAsia" w:eastAsia="仿宋_GB2312" w:cs="仿宋_GB2312"/>
          <w:color w:val="auto"/>
          <w:kern w:val="2"/>
          <w:sz w:val="32"/>
          <w:szCs w:val="32"/>
          <w:highlight w:val="none"/>
          <w:lang w:val="en-US" w:eastAsia="zh-CN" w:bidi="ar-SA"/>
        </w:rPr>
        <w:t>4.31</w:t>
      </w:r>
      <w:r>
        <w:rPr>
          <w:rFonts w:hint="eastAsia" w:ascii="Times New Roman" w:hAnsi="Times New Roman" w:eastAsia="仿宋_GB2312" w:cs="仿宋_GB2312"/>
          <w:color w:val="auto"/>
          <w:kern w:val="2"/>
          <w:sz w:val="32"/>
          <w:szCs w:val="32"/>
          <w:highlight w:val="none"/>
          <w:lang w:val="en-US" w:eastAsia="zh-CN" w:bidi="ar-SA"/>
        </w:rPr>
        <w:t>万元，具体内容包括：</w:t>
      </w:r>
      <w:r>
        <w:rPr>
          <w:rFonts w:hint="eastAsia" w:eastAsia="仿宋_GB2312" w:cs="仿宋_GB2312"/>
          <w:color w:val="auto"/>
          <w:kern w:val="2"/>
          <w:sz w:val="32"/>
          <w:szCs w:val="32"/>
          <w:highlight w:val="none"/>
          <w:lang w:val="en-US" w:eastAsia="zh-CN" w:bidi="ar-SA"/>
        </w:rPr>
        <w:t>遂宁市委政法委来泸交流学习“一站式”矛盾纠纷多元化解平台建设接待0.29万元、自贡市委政法委来泸交流学习基层社会治理接待0.15万元等</w:t>
      </w:r>
      <w:r>
        <w:rPr>
          <w:rFonts w:hint="eastAsia" w:ascii="Times New Roman" w:hAnsi="Times New Roman" w:eastAsia="仿宋_GB2312" w:cs="仿宋_GB2312"/>
          <w:color w:val="auto"/>
          <w:kern w:val="2"/>
          <w:sz w:val="32"/>
          <w:szCs w:val="32"/>
          <w:highlight w:val="none"/>
          <w:lang w:val="en-US" w:eastAsia="zh-CN" w:bidi="ar-SA"/>
        </w:rPr>
        <w:t>。</w:t>
      </w:r>
    </w:p>
    <w:p w14:paraId="11C6B0DE">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外事接待支</w:t>
      </w:r>
      <w:r>
        <w:rPr>
          <w:rFonts w:hint="eastAsia" w:ascii="仿宋_GB2312" w:hAnsi="仿宋_GB2312" w:eastAsia="仿宋_GB2312" w:cs="仿宋_GB2312"/>
          <w:color w:val="auto"/>
          <w:kern w:val="2"/>
          <w:sz w:val="32"/>
          <w:szCs w:val="32"/>
          <w:highlight w:val="none"/>
          <w:lang w:val="en-US" w:eastAsia="zh-CN" w:bidi="ar-SA"/>
        </w:rPr>
        <w:t>出</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color w:val="auto"/>
          <w:kern w:val="2"/>
          <w:sz w:val="32"/>
          <w:szCs w:val="32"/>
          <w:highlight w:val="none"/>
          <w:lang w:val="en-US" w:eastAsia="zh-CN" w:bidi="ar-SA"/>
        </w:rPr>
        <w:t>万元，无具体项目。外事接待</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color w:val="auto"/>
          <w:kern w:val="2"/>
          <w:sz w:val="32"/>
          <w:szCs w:val="32"/>
          <w:highlight w:val="none"/>
          <w:lang w:val="en-US" w:eastAsia="zh-CN" w:bidi="ar-SA"/>
        </w:rPr>
        <w:t>批次，</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color w:val="auto"/>
          <w:kern w:val="2"/>
          <w:sz w:val="32"/>
          <w:szCs w:val="32"/>
          <w:highlight w:val="none"/>
          <w:lang w:val="en-US" w:eastAsia="zh-CN" w:bidi="ar-SA"/>
        </w:rPr>
        <w:t>人次，共计支出0万</w:t>
      </w:r>
      <w:r>
        <w:rPr>
          <w:rFonts w:hint="eastAsia" w:ascii="Times New Roman" w:hAnsi="Times New Roman" w:eastAsia="仿宋_GB2312" w:cs="仿宋_GB2312"/>
          <w:color w:val="auto"/>
          <w:kern w:val="2"/>
          <w:sz w:val="32"/>
          <w:szCs w:val="32"/>
          <w:highlight w:val="none"/>
          <w:lang w:val="en-US" w:eastAsia="zh-CN" w:bidi="ar-SA"/>
        </w:rPr>
        <w:t>元。</w:t>
      </w:r>
      <w:bookmarkStart w:id="42" w:name="_Toc15377218"/>
      <w:bookmarkStart w:id="43" w:name="_Toc15396610"/>
    </w:p>
    <w:p w14:paraId="422B036A">
      <w:pPr>
        <w:spacing w:line="600" w:lineRule="exact"/>
        <w:ind w:firstLine="640"/>
        <w:outlineLvl w:val="1"/>
        <w:rPr>
          <w:rStyle w:val="29"/>
          <w:rFonts w:ascii="Times New Roman" w:hAnsi="Times New Roman" w:eastAsia="黑体"/>
          <w:color w:val="auto"/>
          <w:highlight w:val="none"/>
        </w:rPr>
      </w:pPr>
      <w:r>
        <w:rPr>
          <w:rFonts w:hint="eastAsia" w:ascii="Times New Roman" w:hAnsi="Times New Roman" w:eastAsia="黑体"/>
          <w:color w:val="auto"/>
          <w:sz w:val="32"/>
          <w:szCs w:val="32"/>
          <w:highlight w:val="none"/>
        </w:rPr>
        <w:t>八、</w:t>
      </w:r>
      <w:r>
        <w:rPr>
          <w:rStyle w:val="29"/>
          <w:rFonts w:hint="eastAsia" w:ascii="Times New Roman" w:hAnsi="Times New Roman" w:eastAsia="黑体"/>
          <w:b w:val="0"/>
          <w:color w:val="auto"/>
          <w:highlight w:val="none"/>
        </w:rPr>
        <w:t>政府性基金预算支出决算情况说明</w:t>
      </w:r>
      <w:bookmarkEnd w:id="42"/>
      <w:bookmarkEnd w:id="43"/>
    </w:p>
    <w:p w14:paraId="782E2FBF">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2024年度政府性基金预算财政拨款支出</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color w:val="auto"/>
          <w:kern w:val="2"/>
          <w:sz w:val="32"/>
          <w:szCs w:val="32"/>
          <w:highlight w:val="none"/>
          <w:lang w:val="en-US" w:eastAsia="zh-CN" w:bidi="ar-SA"/>
        </w:rPr>
        <w:t>万元，占本年支出合计的</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。与2023年度相比，政府性基金预算财政拨款支出</w:t>
      </w:r>
      <w:r>
        <w:rPr>
          <w:rFonts w:hint="eastAsia" w:eastAsia="仿宋_GB2312" w:cs="仿宋_GB2312"/>
          <w:color w:val="auto"/>
          <w:kern w:val="2"/>
          <w:sz w:val="32"/>
          <w:szCs w:val="32"/>
          <w:highlight w:val="none"/>
          <w:lang w:val="en-US" w:eastAsia="zh-CN" w:bidi="ar-SA"/>
        </w:rPr>
        <w:t>持平。</w:t>
      </w:r>
    </w:p>
    <w:p w14:paraId="28E2A058">
      <w:pPr>
        <w:numPr>
          <w:ilvl w:val="0"/>
          <w:numId w:val="0"/>
        </w:numPr>
        <w:spacing w:line="600" w:lineRule="exact"/>
        <w:ind w:left="630" w:leftChars="0"/>
        <w:outlineLvl w:val="1"/>
        <w:rPr>
          <w:rStyle w:val="29"/>
          <w:rFonts w:ascii="Times New Roman" w:hAnsi="Times New Roman" w:eastAsia="黑体"/>
          <w:b w:val="0"/>
          <w:color w:val="auto"/>
          <w:highlight w:val="none"/>
        </w:rPr>
      </w:pPr>
      <w:bookmarkStart w:id="44" w:name="_Toc15396611"/>
      <w:bookmarkStart w:id="45" w:name="_Toc15377219"/>
      <w:r>
        <w:rPr>
          <w:rStyle w:val="29"/>
          <w:rFonts w:hint="eastAsia" w:ascii="Times New Roman" w:hAnsi="Times New Roman" w:eastAsia="黑体"/>
          <w:b w:val="0"/>
          <w:color w:val="auto"/>
          <w:highlight w:val="none"/>
          <w:lang w:eastAsia="zh-CN"/>
        </w:rPr>
        <w:t>九、</w:t>
      </w:r>
      <w:r>
        <w:rPr>
          <w:rStyle w:val="29"/>
          <w:rFonts w:hint="eastAsia" w:ascii="Times New Roman" w:hAnsi="Times New Roman" w:eastAsia="黑体"/>
          <w:b w:val="0"/>
          <w:color w:val="auto"/>
          <w:highlight w:val="none"/>
        </w:rPr>
        <w:t>国有资本经营预算支出决算情况说明</w:t>
      </w:r>
      <w:bookmarkEnd w:id="44"/>
      <w:bookmarkEnd w:id="45"/>
    </w:p>
    <w:p w14:paraId="59BFEC5C">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2024年度国有资本经营预算财政拨款支出</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color w:val="auto"/>
          <w:kern w:val="2"/>
          <w:sz w:val="32"/>
          <w:szCs w:val="32"/>
          <w:highlight w:val="none"/>
          <w:lang w:val="en-US" w:eastAsia="zh-CN" w:bidi="ar-SA"/>
        </w:rPr>
        <w:t>万元，占本年支出合计的</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。与2023年度相比，国有资本经营预算财政拨款支出</w:t>
      </w:r>
      <w:r>
        <w:rPr>
          <w:rFonts w:hint="eastAsia" w:eastAsia="仿宋_GB2312" w:cs="仿宋_GB2312"/>
          <w:color w:val="auto"/>
          <w:kern w:val="2"/>
          <w:sz w:val="32"/>
          <w:szCs w:val="32"/>
          <w:highlight w:val="none"/>
          <w:lang w:val="en-US" w:eastAsia="zh-CN" w:bidi="ar-SA"/>
        </w:rPr>
        <w:t>持平。</w:t>
      </w:r>
    </w:p>
    <w:p w14:paraId="5C94FA33">
      <w:pPr>
        <w:numPr>
          <w:ilvl w:val="0"/>
          <w:numId w:val="0"/>
        </w:numPr>
        <w:spacing w:line="600" w:lineRule="exact"/>
        <w:ind w:left="630" w:leftChars="0"/>
        <w:outlineLvl w:val="1"/>
        <w:rPr>
          <w:rStyle w:val="29"/>
          <w:rFonts w:hint="eastAsia" w:ascii="Times New Roman" w:hAnsi="Times New Roman" w:eastAsia="黑体"/>
          <w:b w:val="0"/>
          <w:color w:val="auto"/>
          <w:highlight w:val="none"/>
        </w:rPr>
      </w:pPr>
      <w:bookmarkStart w:id="46" w:name="_Toc15377221"/>
      <w:bookmarkStart w:id="47" w:name="_Toc15396612"/>
      <w:r>
        <w:rPr>
          <w:rStyle w:val="29"/>
          <w:rFonts w:hint="eastAsia" w:ascii="Times New Roman" w:hAnsi="Times New Roman" w:eastAsia="黑体"/>
          <w:b w:val="0"/>
          <w:color w:val="auto"/>
          <w:highlight w:val="none"/>
          <w:lang w:eastAsia="zh-CN"/>
        </w:rPr>
        <w:t>十、</w:t>
      </w:r>
      <w:r>
        <w:rPr>
          <w:rStyle w:val="29"/>
          <w:rFonts w:hint="eastAsia" w:ascii="Times New Roman" w:hAnsi="Times New Roman" w:eastAsia="黑体"/>
          <w:b w:val="0"/>
          <w:color w:val="auto"/>
          <w:highlight w:val="none"/>
        </w:rPr>
        <w:t>其他重要事项的情况说明</w:t>
      </w:r>
      <w:bookmarkEnd w:id="46"/>
      <w:bookmarkEnd w:id="47"/>
    </w:p>
    <w:p w14:paraId="65BE03A1">
      <w:pPr>
        <w:spacing w:line="600" w:lineRule="exact"/>
        <w:ind w:firstLine="643" w:firstLineChars="200"/>
        <w:outlineLvl w:val="2"/>
        <w:rPr>
          <w:rFonts w:hint="eastAsia" w:ascii="Times New Roman" w:hAnsi="Times New Roman" w:eastAsia="楷体_GB2312" w:cs="楷体_GB2312"/>
          <w:b/>
          <w:color w:val="auto"/>
          <w:sz w:val="32"/>
          <w:szCs w:val="32"/>
          <w:highlight w:val="none"/>
        </w:rPr>
      </w:pPr>
      <w:bookmarkStart w:id="48" w:name="_Toc15377222"/>
      <w:r>
        <w:rPr>
          <w:rFonts w:hint="eastAsia" w:ascii="Times New Roman" w:hAnsi="Times New Roman" w:eastAsia="楷体_GB2312" w:cs="楷体_GB2312"/>
          <w:b/>
          <w:color w:val="auto"/>
          <w:sz w:val="32"/>
          <w:szCs w:val="32"/>
          <w:highlight w:val="none"/>
        </w:rPr>
        <w:t>（一）机关运行经费支出情况</w:t>
      </w:r>
      <w:bookmarkEnd w:id="48"/>
    </w:p>
    <w:p w14:paraId="6E0CC305">
      <w:pPr>
        <w:spacing w:line="600" w:lineRule="exact"/>
        <w:ind w:firstLine="640"/>
        <w:rPr>
          <w:rFonts w:hint="default"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2024年度</w:t>
      </w:r>
      <w:r>
        <w:rPr>
          <w:rFonts w:hint="eastAsia" w:ascii="仿宋_GB2312" w:hAnsi="仿宋_GB2312" w:eastAsia="仿宋_GB2312" w:cs="仿宋_GB2312"/>
          <w:color w:val="auto"/>
          <w:kern w:val="2"/>
          <w:sz w:val="32"/>
          <w:szCs w:val="32"/>
          <w:highlight w:val="none"/>
          <w:lang w:val="en-US" w:eastAsia="zh-CN" w:bidi="ar-SA"/>
        </w:rPr>
        <w:t>，</w:t>
      </w:r>
      <w:r>
        <w:rPr>
          <w:rFonts w:hint="eastAsia" w:ascii="仿宋_GB2312" w:eastAsia="仿宋_GB2312"/>
          <w:color w:val="auto"/>
          <w:sz w:val="32"/>
          <w:szCs w:val="32"/>
          <w:highlight w:val="none"/>
          <w:lang w:val="en-US" w:eastAsia="zh-CN"/>
        </w:rPr>
        <w:t>泸州市委政法委</w:t>
      </w:r>
      <w:r>
        <w:rPr>
          <w:rFonts w:hint="eastAsia" w:ascii="仿宋_GB2312" w:hAnsi="仿宋_GB2312" w:eastAsia="仿宋_GB2312" w:cs="仿宋_GB2312"/>
          <w:color w:val="auto"/>
          <w:kern w:val="2"/>
          <w:sz w:val="32"/>
          <w:szCs w:val="32"/>
          <w:highlight w:val="none"/>
          <w:lang w:val="en-US" w:eastAsia="zh-CN" w:bidi="ar-SA"/>
        </w:rPr>
        <w:t>机关运行经费支出</w:t>
      </w:r>
      <w:r>
        <w:rPr>
          <w:rFonts w:hint="eastAsia" w:ascii="仿宋_GB2312" w:hAnsi="仿宋_GB2312" w:eastAsia="仿宋_GB2312" w:cs="仿宋_GB2312"/>
          <w:sz w:val="32"/>
          <w:szCs w:val="32"/>
          <w:lang w:val="en-US" w:eastAsia="zh-CN"/>
        </w:rPr>
        <w:t>259.54</w:t>
      </w:r>
      <w:r>
        <w:rPr>
          <w:rFonts w:hint="eastAsia" w:ascii="仿宋_GB2312" w:hAnsi="仿宋_GB2312" w:eastAsia="仿宋_GB2312" w:cs="仿宋_GB2312"/>
          <w:color w:val="auto"/>
          <w:kern w:val="2"/>
          <w:sz w:val="32"/>
          <w:szCs w:val="32"/>
          <w:highlight w:val="none"/>
          <w:lang w:val="en-US" w:eastAsia="zh-CN" w:bidi="ar-SA"/>
        </w:rPr>
        <w:t>万</w:t>
      </w:r>
      <w:r>
        <w:rPr>
          <w:rFonts w:hint="eastAsia" w:ascii="Times New Roman" w:hAnsi="Times New Roman" w:eastAsia="仿宋_GB2312" w:cs="仿宋_GB2312"/>
          <w:color w:val="auto"/>
          <w:kern w:val="2"/>
          <w:sz w:val="32"/>
          <w:szCs w:val="32"/>
          <w:highlight w:val="none"/>
          <w:lang w:val="en-US" w:eastAsia="zh-CN" w:bidi="ar-SA"/>
        </w:rPr>
        <w:t>元，比2023年度减少</w:t>
      </w:r>
      <w:r>
        <w:rPr>
          <w:rFonts w:hint="eastAsia" w:eastAsia="仿宋_GB2312" w:cs="仿宋_GB2312"/>
          <w:color w:val="auto"/>
          <w:kern w:val="2"/>
          <w:sz w:val="32"/>
          <w:szCs w:val="32"/>
          <w:highlight w:val="none"/>
          <w:lang w:val="en-US" w:eastAsia="zh-CN" w:bidi="ar-SA"/>
        </w:rPr>
        <w:t>23.28</w:t>
      </w:r>
      <w:r>
        <w:rPr>
          <w:rFonts w:hint="eastAsia" w:ascii="Times New Roman" w:hAnsi="Times New Roman" w:eastAsia="仿宋_GB2312" w:cs="仿宋_GB2312"/>
          <w:color w:val="auto"/>
          <w:kern w:val="2"/>
          <w:sz w:val="32"/>
          <w:szCs w:val="32"/>
          <w:highlight w:val="none"/>
          <w:lang w:val="en-US" w:eastAsia="zh-CN" w:bidi="ar-SA"/>
        </w:rPr>
        <w:t>万元，下降</w:t>
      </w:r>
      <w:r>
        <w:rPr>
          <w:rFonts w:hint="eastAsia" w:eastAsia="仿宋_GB2312" w:cs="仿宋_GB2312"/>
          <w:color w:val="auto"/>
          <w:kern w:val="2"/>
          <w:sz w:val="32"/>
          <w:szCs w:val="32"/>
          <w:highlight w:val="none"/>
          <w:lang w:val="en-US" w:eastAsia="zh-CN" w:bidi="ar-SA"/>
        </w:rPr>
        <w:t>8</w:t>
      </w:r>
      <w:r>
        <w:rPr>
          <w:rFonts w:hint="eastAsia" w:ascii="Times New Roman" w:hAnsi="Times New Roman" w:eastAsia="仿宋_GB2312" w:cs="仿宋_GB2312"/>
          <w:color w:val="auto"/>
          <w:kern w:val="2"/>
          <w:sz w:val="32"/>
          <w:szCs w:val="32"/>
          <w:highlight w:val="none"/>
          <w:lang w:val="en-US" w:eastAsia="zh-CN" w:bidi="ar-SA"/>
        </w:rPr>
        <w:t>%。主要原因是</w:t>
      </w:r>
      <w:r>
        <w:rPr>
          <w:rFonts w:hint="eastAsia" w:eastAsia="仿宋_GB2312" w:cs="仿宋_GB2312"/>
          <w:color w:val="auto"/>
          <w:kern w:val="2"/>
          <w:sz w:val="32"/>
          <w:szCs w:val="32"/>
          <w:highlight w:val="none"/>
          <w:lang w:val="en-US" w:eastAsia="zh-CN" w:bidi="ar-SA"/>
        </w:rPr>
        <w:t>厉行节约，压减办公经费。</w:t>
      </w:r>
    </w:p>
    <w:p w14:paraId="5D4D836B">
      <w:pPr>
        <w:spacing w:line="600" w:lineRule="exact"/>
        <w:ind w:firstLine="643" w:firstLineChars="200"/>
        <w:outlineLvl w:val="2"/>
        <w:rPr>
          <w:rFonts w:hint="eastAsia" w:ascii="Times New Roman" w:hAnsi="Times New Roman" w:eastAsia="楷体_GB2312" w:cs="楷体_GB2312"/>
          <w:b/>
          <w:color w:val="auto"/>
          <w:sz w:val="32"/>
          <w:szCs w:val="32"/>
          <w:highlight w:val="none"/>
        </w:rPr>
      </w:pPr>
      <w:bookmarkStart w:id="49" w:name="_Toc15377223"/>
      <w:r>
        <w:rPr>
          <w:rFonts w:hint="eastAsia" w:ascii="Times New Roman" w:hAnsi="Times New Roman" w:eastAsia="楷体_GB2312" w:cs="楷体_GB2312"/>
          <w:b/>
          <w:color w:val="auto"/>
          <w:sz w:val="32"/>
          <w:szCs w:val="32"/>
          <w:highlight w:val="none"/>
        </w:rPr>
        <w:t>（二）政府采购支出情况</w:t>
      </w:r>
      <w:bookmarkEnd w:id="49"/>
    </w:p>
    <w:p w14:paraId="68E344B0">
      <w:pPr>
        <w:spacing w:line="600" w:lineRule="exact"/>
        <w:ind w:firstLine="640"/>
        <w:rPr>
          <w:rFonts w:hint="eastAsia"/>
          <w:lang w:val="en-US" w:eastAsia="zh-CN"/>
        </w:rPr>
      </w:pPr>
      <w:r>
        <w:rPr>
          <w:rFonts w:hint="eastAsia" w:ascii="仿宋_GB2312" w:hAnsi="仿宋_GB2312" w:eastAsia="仿宋_GB2312" w:cs="仿宋_GB2312"/>
          <w:color w:val="auto"/>
          <w:kern w:val="2"/>
          <w:sz w:val="32"/>
          <w:szCs w:val="32"/>
          <w:highlight w:val="none"/>
          <w:lang w:val="en-US" w:eastAsia="zh-CN" w:bidi="ar-SA"/>
        </w:rPr>
        <w:t>2024年度，</w:t>
      </w:r>
      <w:r>
        <w:rPr>
          <w:rFonts w:hint="eastAsia" w:ascii="仿宋_GB2312" w:eastAsia="仿宋_GB2312"/>
          <w:color w:val="auto"/>
          <w:sz w:val="32"/>
          <w:szCs w:val="32"/>
          <w:highlight w:val="none"/>
          <w:lang w:val="en-US" w:eastAsia="zh-CN"/>
        </w:rPr>
        <w:t>泸州市委政法委</w:t>
      </w:r>
      <w:r>
        <w:rPr>
          <w:rFonts w:hint="eastAsia" w:ascii="仿宋_GB2312" w:hAnsi="仿宋_GB2312" w:eastAsia="仿宋_GB2312" w:cs="仿宋_GB2312"/>
          <w:color w:val="auto"/>
          <w:kern w:val="2"/>
          <w:sz w:val="32"/>
          <w:szCs w:val="32"/>
          <w:highlight w:val="none"/>
          <w:lang w:val="en-US" w:eastAsia="zh-CN" w:bidi="ar-SA"/>
        </w:rPr>
        <w:t>政府采购支出总额</w:t>
      </w:r>
      <w:r>
        <w:rPr>
          <w:rFonts w:hint="eastAsia" w:ascii="仿宋_GB2312" w:hAnsi="仿宋_GB2312" w:eastAsia="仿宋_GB2312" w:cs="仿宋_GB2312"/>
          <w:sz w:val="32"/>
          <w:szCs w:val="32"/>
          <w:lang w:val="en-US" w:eastAsia="zh-CN"/>
        </w:rPr>
        <w:t>11.11</w:t>
      </w:r>
      <w:r>
        <w:rPr>
          <w:rFonts w:hint="eastAsia" w:ascii="仿宋_GB2312" w:hAnsi="仿宋_GB2312" w:eastAsia="仿宋_GB2312" w:cs="仿宋_GB2312"/>
          <w:color w:val="auto"/>
          <w:kern w:val="2"/>
          <w:sz w:val="32"/>
          <w:szCs w:val="32"/>
          <w:highlight w:val="none"/>
          <w:lang w:val="en-US" w:eastAsia="zh-CN" w:bidi="ar-SA"/>
        </w:rPr>
        <w:t>万元，其中：政府采购货物支出</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color w:val="auto"/>
          <w:kern w:val="2"/>
          <w:sz w:val="32"/>
          <w:szCs w:val="32"/>
          <w:highlight w:val="none"/>
          <w:lang w:val="en-US" w:eastAsia="zh-CN" w:bidi="ar-SA"/>
        </w:rPr>
        <w:t>万元、政府采购工程支出</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color w:val="auto"/>
          <w:kern w:val="2"/>
          <w:sz w:val="32"/>
          <w:szCs w:val="32"/>
          <w:highlight w:val="none"/>
          <w:lang w:val="en-US" w:eastAsia="zh-CN" w:bidi="ar-SA"/>
        </w:rPr>
        <w:t>万元、政府采购服务支出</w:t>
      </w:r>
      <w:r>
        <w:rPr>
          <w:rFonts w:hint="eastAsia" w:ascii="仿宋_GB2312" w:hAnsi="仿宋_GB2312" w:eastAsia="仿宋_GB2312" w:cs="仿宋_GB2312"/>
          <w:sz w:val="32"/>
          <w:szCs w:val="32"/>
          <w:lang w:val="en-US" w:eastAsia="zh-CN"/>
        </w:rPr>
        <w:t>11.11</w:t>
      </w:r>
      <w:r>
        <w:rPr>
          <w:rFonts w:hint="eastAsia" w:ascii="仿宋_GB2312" w:hAnsi="仿宋_GB2312" w:eastAsia="仿宋_GB2312" w:cs="仿宋_GB2312"/>
          <w:color w:val="auto"/>
          <w:kern w:val="2"/>
          <w:sz w:val="32"/>
          <w:szCs w:val="32"/>
          <w:highlight w:val="none"/>
          <w:lang w:val="en-US" w:eastAsia="zh-CN" w:bidi="ar-SA"/>
        </w:rPr>
        <w:t>万元。主要用于公务用车用采购保险、加油、维修用。授予中小企业合同金额</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color w:val="auto"/>
          <w:kern w:val="2"/>
          <w:sz w:val="32"/>
          <w:szCs w:val="32"/>
          <w:highlight w:val="none"/>
          <w:lang w:val="en-US" w:eastAsia="zh-CN" w:bidi="ar-SA"/>
        </w:rPr>
        <w:t>万元，占政府采购支出总额的</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color w:val="auto"/>
          <w:kern w:val="2"/>
          <w:sz w:val="32"/>
          <w:szCs w:val="32"/>
          <w:highlight w:val="none"/>
          <w:lang w:val="en-US" w:eastAsia="zh-CN" w:bidi="ar-SA"/>
        </w:rPr>
        <w:t>%，其中：授予小微企业合同金额</w:t>
      </w:r>
      <w:r>
        <w:rPr>
          <w:rFonts w:hint="default" w:ascii="仿宋_GB2312" w:hAnsi="仿宋_GB2312" w:eastAsia="仿宋_GB2312" w:cs="仿宋_GB2312"/>
          <w:sz w:val="32"/>
          <w:szCs w:val="32"/>
          <w:lang w:val="en-US"/>
        </w:rPr>
        <w:t>**</w:t>
      </w:r>
      <w:r>
        <w:rPr>
          <w:rFonts w:hint="eastAsia" w:ascii="仿宋_GB2312" w:hAnsi="仿宋_GB2312" w:eastAsia="仿宋_GB2312" w:cs="仿宋_GB2312"/>
          <w:color w:val="auto"/>
          <w:kern w:val="2"/>
          <w:sz w:val="32"/>
          <w:szCs w:val="32"/>
          <w:highlight w:val="none"/>
          <w:lang w:val="en-US" w:eastAsia="zh-CN" w:bidi="ar-SA"/>
        </w:rPr>
        <w:t>万元，占政府采购支出总额的</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color w:val="auto"/>
          <w:kern w:val="2"/>
          <w:sz w:val="32"/>
          <w:szCs w:val="32"/>
          <w:highlight w:val="none"/>
          <w:lang w:val="en-US" w:eastAsia="zh-CN" w:bidi="ar-SA"/>
        </w:rPr>
        <w:t>%。</w:t>
      </w:r>
    </w:p>
    <w:p w14:paraId="2F84A61F">
      <w:pPr>
        <w:spacing w:line="600" w:lineRule="exact"/>
        <w:ind w:firstLine="643" w:firstLineChars="200"/>
        <w:outlineLvl w:val="2"/>
        <w:rPr>
          <w:rFonts w:hint="eastAsia" w:ascii="Times New Roman" w:hAnsi="Times New Roman" w:eastAsia="楷体_GB2312" w:cs="楷体_GB2312"/>
          <w:b/>
          <w:color w:val="auto"/>
          <w:sz w:val="32"/>
          <w:szCs w:val="32"/>
          <w:highlight w:val="none"/>
        </w:rPr>
      </w:pPr>
      <w:bookmarkStart w:id="50" w:name="_Toc15377224"/>
      <w:r>
        <w:rPr>
          <w:rFonts w:hint="eastAsia" w:ascii="Times New Roman" w:hAnsi="Times New Roman" w:eastAsia="楷体_GB2312" w:cs="楷体_GB2312"/>
          <w:b/>
          <w:color w:val="auto"/>
          <w:sz w:val="32"/>
          <w:szCs w:val="32"/>
          <w:highlight w:val="none"/>
        </w:rPr>
        <w:t>（三）国有资产占有使用情况</w:t>
      </w:r>
      <w:bookmarkEnd w:id="50"/>
    </w:p>
    <w:p w14:paraId="6BF56645">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截至2024年12月31日，</w:t>
      </w:r>
      <w:r>
        <w:rPr>
          <w:rFonts w:hint="eastAsia" w:ascii="仿宋_GB2312" w:hAnsi="仿宋_GB2312" w:eastAsia="仿宋_GB2312" w:cs="仿宋_GB2312"/>
          <w:sz w:val="32"/>
          <w:szCs w:val="32"/>
          <w:lang w:val="en-US" w:eastAsia="zh-CN"/>
        </w:rPr>
        <w:t>泸州市委政法委</w:t>
      </w:r>
      <w:r>
        <w:rPr>
          <w:rFonts w:hint="eastAsia" w:ascii="仿宋_GB2312" w:hAnsi="仿宋_GB2312" w:eastAsia="仿宋_GB2312" w:cs="仿宋_GB2312"/>
          <w:color w:val="auto"/>
          <w:kern w:val="2"/>
          <w:sz w:val="32"/>
          <w:szCs w:val="32"/>
          <w:highlight w:val="none"/>
          <w:lang w:val="en-US" w:eastAsia="zh-CN" w:bidi="ar-SA"/>
        </w:rPr>
        <w:t>共有车辆</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color w:val="auto"/>
          <w:kern w:val="2"/>
          <w:sz w:val="32"/>
          <w:szCs w:val="32"/>
          <w:highlight w:val="none"/>
          <w:lang w:val="en-US" w:eastAsia="zh-CN" w:bidi="ar-SA"/>
        </w:rPr>
        <w:t>辆，其中：主要负责人用车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color w:val="auto"/>
          <w:kern w:val="2"/>
          <w:sz w:val="32"/>
          <w:szCs w:val="32"/>
          <w:highlight w:val="none"/>
          <w:lang w:val="en-US" w:eastAsia="zh-CN" w:bidi="ar-SA"/>
        </w:rPr>
        <w:t>辆、机要通信用车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color w:val="auto"/>
          <w:kern w:val="2"/>
          <w:sz w:val="32"/>
          <w:szCs w:val="32"/>
          <w:highlight w:val="none"/>
          <w:lang w:val="en-US" w:eastAsia="zh-CN" w:bidi="ar-SA"/>
        </w:rPr>
        <w:t>辆、应急保障用车</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color w:val="auto"/>
          <w:kern w:val="2"/>
          <w:sz w:val="32"/>
          <w:szCs w:val="32"/>
          <w:highlight w:val="none"/>
          <w:lang w:val="en-US" w:eastAsia="zh-CN" w:bidi="ar-SA"/>
        </w:rPr>
        <w:t>辆、其他用车</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color w:val="auto"/>
          <w:kern w:val="2"/>
          <w:sz w:val="32"/>
          <w:szCs w:val="32"/>
          <w:highlight w:val="none"/>
          <w:lang w:val="en-US" w:eastAsia="zh-CN" w:bidi="ar-SA"/>
        </w:rPr>
        <w:t>辆，其他用车主要是用于维稳、防邪等工作方面。单价100万元（含）以上设备（不含车辆）</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color w:val="auto"/>
          <w:kern w:val="2"/>
          <w:sz w:val="32"/>
          <w:szCs w:val="32"/>
          <w:highlight w:val="none"/>
          <w:lang w:val="en-US" w:eastAsia="zh-CN" w:bidi="ar-SA"/>
        </w:rPr>
        <w:t>台（套）</w:t>
      </w:r>
      <w:r>
        <w:rPr>
          <w:rFonts w:hint="eastAsia" w:ascii="Times New Roman" w:hAnsi="Times New Roman" w:eastAsia="仿宋_GB2312" w:cs="仿宋_GB2312"/>
          <w:color w:val="auto"/>
          <w:kern w:val="2"/>
          <w:sz w:val="32"/>
          <w:szCs w:val="32"/>
          <w:highlight w:val="none"/>
          <w:lang w:val="en-US" w:eastAsia="zh-CN" w:bidi="ar-SA"/>
        </w:rPr>
        <w:t>。</w:t>
      </w:r>
    </w:p>
    <w:p w14:paraId="07A8A99A">
      <w:pPr>
        <w:spacing w:line="600" w:lineRule="exact"/>
        <w:ind w:firstLine="643" w:firstLineChars="200"/>
        <w:outlineLvl w:val="2"/>
        <w:rPr>
          <w:rFonts w:hint="eastAsia" w:ascii="Times New Roman" w:hAnsi="Times New Roman" w:eastAsia="楷体_GB2312" w:cs="楷体_GB2312"/>
          <w:b/>
          <w:color w:val="auto"/>
          <w:sz w:val="32"/>
          <w:szCs w:val="32"/>
          <w:highlight w:val="none"/>
        </w:rPr>
      </w:pPr>
      <w:r>
        <w:rPr>
          <w:rFonts w:hint="eastAsia" w:ascii="Times New Roman" w:hAnsi="Times New Roman" w:eastAsia="楷体_GB2312" w:cs="楷体_GB2312"/>
          <w:b/>
          <w:color w:val="auto"/>
          <w:sz w:val="32"/>
          <w:szCs w:val="32"/>
          <w:highlight w:val="none"/>
        </w:rPr>
        <w:t>（四）预算绩效管理情况</w:t>
      </w:r>
    </w:p>
    <w:p w14:paraId="1C4D3F57">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根据预算绩效管理要求，</w:t>
      </w:r>
      <w:r>
        <w:rPr>
          <w:rFonts w:hint="eastAsia" w:eastAsia="仿宋_GB2312" w:cs="仿宋_GB2312"/>
          <w:color w:val="auto"/>
          <w:kern w:val="2"/>
          <w:sz w:val="32"/>
          <w:szCs w:val="32"/>
          <w:highlight w:val="none"/>
          <w:lang w:val="en-US" w:eastAsia="zh-CN" w:bidi="ar-SA"/>
        </w:rPr>
        <w:t>泸州市委政法委</w:t>
      </w:r>
      <w:r>
        <w:rPr>
          <w:rFonts w:hint="eastAsia" w:ascii="Times New Roman" w:hAnsi="Times New Roman" w:eastAsia="仿宋_GB2312" w:cs="仿宋_GB2312"/>
          <w:color w:val="auto"/>
          <w:kern w:val="2"/>
          <w:sz w:val="32"/>
          <w:szCs w:val="32"/>
          <w:highlight w:val="none"/>
          <w:lang w:val="en-US" w:eastAsia="zh-CN" w:bidi="ar-SA"/>
        </w:rPr>
        <w:t>在2024年度预算编制阶段，组织对</w:t>
      </w:r>
      <w:r>
        <w:rPr>
          <w:rFonts w:hint="eastAsia" w:eastAsia="仿宋_GB2312" w:cs="仿宋_GB2312"/>
          <w:color w:val="auto"/>
          <w:kern w:val="2"/>
          <w:sz w:val="32"/>
          <w:szCs w:val="32"/>
          <w:highlight w:val="none"/>
          <w:lang w:val="en-US" w:eastAsia="zh-CN" w:bidi="ar-SA"/>
        </w:rPr>
        <w:t>法学会经费、平安建设经费、驻村第一书记</w:t>
      </w:r>
      <w:r>
        <w:rPr>
          <w:rFonts w:hint="eastAsia" w:ascii="Times New Roman" w:hAnsi="Times New Roman" w:eastAsia="仿宋_GB2312" w:cs="仿宋_GB2312"/>
          <w:color w:val="auto"/>
          <w:kern w:val="2"/>
          <w:sz w:val="32"/>
          <w:szCs w:val="32"/>
          <w:highlight w:val="none"/>
          <w:lang w:val="en-US" w:eastAsia="zh-CN" w:bidi="ar-SA"/>
        </w:rPr>
        <w:t>等</w:t>
      </w:r>
      <w:r>
        <w:rPr>
          <w:rFonts w:hint="eastAsia" w:eastAsia="仿宋_GB2312" w:cs="仿宋_GB2312"/>
          <w:color w:val="auto"/>
          <w:kern w:val="2"/>
          <w:sz w:val="32"/>
          <w:szCs w:val="32"/>
          <w:highlight w:val="none"/>
          <w:lang w:val="en-US" w:eastAsia="zh-CN" w:bidi="ar-SA"/>
        </w:rPr>
        <w:t>13</w:t>
      </w:r>
      <w:r>
        <w:rPr>
          <w:rFonts w:hint="eastAsia" w:ascii="Times New Roman" w:hAnsi="Times New Roman" w:eastAsia="仿宋_GB2312" w:cs="仿宋_GB2312"/>
          <w:color w:val="auto"/>
          <w:kern w:val="2"/>
          <w:sz w:val="32"/>
          <w:szCs w:val="32"/>
          <w:highlight w:val="none"/>
          <w:lang w:val="en-US" w:eastAsia="zh-CN" w:bidi="ar-SA"/>
        </w:rPr>
        <w:t>个项目开展了预算事前绩效评估，对</w:t>
      </w:r>
      <w:r>
        <w:rPr>
          <w:rFonts w:hint="eastAsia" w:eastAsia="仿宋_GB2312" w:cs="仿宋_GB2312"/>
          <w:color w:val="auto"/>
          <w:kern w:val="2"/>
          <w:sz w:val="32"/>
          <w:szCs w:val="32"/>
          <w:highlight w:val="none"/>
          <w:lang w:val="en-US" w:eastAsia="zh-CN" w:bidi="ar-SA"/>
        </w:rPr>
        <w:t>13</w:t>
      </w:r>
      <w:r>
        <w:rPr>
          <w:rFonts w:hint="eastAsia" w:ascii="Times New Roman" w:hAnsi="Times New Roman" w:eastAsia="仿宋_GB2312" w:cs="仿宋_GB2312"/>
          <w:color w:val="auto"/>
          <w:kern w:val="2"/>
          <w:sz w:val="32"/>
          <w:szCs w:val="32"/>
          <w:highlight w:val="none"/>
          <w:lang w:val="en-US" w:eastAsia="zh-CN" w:bidi="ar-SA"/>
        </w:rPr>
        <w:t>个项目编制了绩效目标，预算执行过程中，选取</w:t>
      </w:r>
      <w:r>
        <w:rPr>
          <w:rFonts w:hint="eastAsia" w:eastAsia="仿宋_GB2312" w:cs="仿宋_GB2312"/>
          <w:color w:val="auto"/>
          <w:kern w:val="2"/>
          <w:sz w:val="32"/>
          <w:szCs w:val="32"/>
          <w:highlight w:val="none"/>
          <w:lang w:val="en-US" w:eastAsia="zh-CN" w:bidi="ar-SA"/>
        </w:rPr>
        <w:t>13</w:t>
      </w:r>
      <w:r>
        <w:rPr>
          <w:rFonts w:hint="eastAsia" w:ascii="Times New Roman" w:hAnsi="Times New Roman" w:eastAsia="仿宋_GB2312" w:cs="仿宋_GB2312"/>
          <w:color w:val="auto"/>
          <w:kern w:val="2"/>
          <w:sz w:val="32"/>
          <w:szCs w:val="32"/>
          <w:highlight w:val="none"/>
          <w:lang w:val="en-US" w:eastAsia="zh-CN" w:bidi="ar-SA"/>
        </w:rPr>
        <w:t>个项目开展绩效监控。</w:t>
      </w:r>
    </w:p>
    <w:p w14:paraId="00C95279">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组织对2024年度一般公共预算、政府性基金预算、国有资本经营预算、社会保险基金预算以及资本资产、债券资金等全面开展绩效自评，形成</w:t>
      </w:r>
      <w:r>
        <w:rPr>
          <w:rFonts w:hint="eastAsia" w:eastAsia="仿宋_GB2312" w:cs="仿宋_GB2312"/>
          <w:color w:val="auto"/>
          <w:kern w:val="2"/>
          <w:sz w:val="32"/>
          <w:szCs w:val="32"/>
          <w:highlight w:val="none"/>
          <w:lang w:val="en-US" w:eastAsia="zh-CN" w:bidi="ar-SA"/>
        </w:rPr>
        <w:t>13</w:t>
      </w:r>
      <w:r>
        <w:rPr>
          <w:rFonts w:hint="eastAsia" w:ascii="Times New Roman" w:hAnsi="Times New Roman" w:eastAsia="仿宋_GB2312" w:cs="仿宋_GB2312"/>
          <w:color w:val="auto"/>
          <w:kern w:val="2"/>
          <w:sz w:val="32"/>
          <w:szCs w:val="32"/>
          <w:highlight w:val="none"/>
          <w:lang w:val="en-US" w:eastAsia="zh-CN" w:bidi="ar-SA"/>
        </w:rPr>
        <w:t>部门整体（含部门预算项目）绩效自评报告、</w:t>
      </w:r>
      <w:r>
        <w:rPr>
          <w:rFonts w:hint="eastAsia" w:eastAsia="仿宋_GB2312" w:cs="仿宋_GB2312"/>
          <w:color w:val="auto"/>
          <w:kern w:val="2"/>
          <w:sz w:val="32"/>
          <w:szCs w:val="32"/>
          <w:highlight w:val="none"/>
          <w:lang w:val="en-US" w:eastAsia="zh-CN" w:bidi="ar-SA"/>
        </w:rPr>
        <w:t>5</w:t>
      </w:r>
      <w:r>
        <w:rPr>
          <w:rFonts w:hint="eastAsia" w:ascii="Times New Roman" w:hAnsi="Times New Roman" w:eastAsia="仿宋_GB2312" w:cs="仿宋_GB2312"/>
          <w:color w:val="auto"/>
          <w:kern w:val="2"/>
          <w:sz w:val="32"/>
          <w:szCs w:val="32"/>
          <w:highlight w:val="none"/>
          <w:lang w:val="en-US" w:eastAsia="zh-CN" w:bidi="ar-SA"/>
        </w:rPr>
        <w:t>等专项预算项目绩效自评报告，其中，</w:t>
      </w:r>
      <w:r>
        <w:rPr>
          <w:rFonts w:hint="eastAsia" w:eastAsia="仿宋_GB2312" w:cs="仿宋_GB2312"/>
          <w:color w:val="auto"/>
          <w:kern w:val="2"/>
          <w:sz w:val="32"/>
          <w:szCs w:val="32"/>
          <w:highlight w:val="none"/>
          <w:lang w:val="en-US" w:eastAsia="zh-CN" w:bidi="ar-SA"/>
        </w:rPr>
        <w:t>泸州市委政法委</w:t>
      </w:r>
      <w:r>
        <w:rPr>
          <w:rFonts w:hint="eastAsia" w:ascii="Times New Roman" w:hAnsi="Times New Roman" w:eastAsia="仿宋_GB2312" w:cs="仿宋_GB2312"/>
          <w:color w:val="auto"/>
          <w:kern w:val="2"/>
          <w:sz w:val="32"/>
          <w:szCs w:val="32"/>
          <w:highlight w:val="none"/>
          <w:lang w:val="en-US" w:eastAsia="zh-CN" w:bidi="ar-SA"/>
        </w:rPr>
        <w:t>部门整体（含部门预算项目）绩效自评得分为</w:t>
      </w:r>
      <w:r>
        <w:rPr>
          <w:rFonts w:hint="eastAsia" w:eastAsia="仿宋_GB2312" w:cs="仿宋_GB2312"/>
          <w:color w:val="auto"/>
          <w:kern w:val="2"/>
          <w:sz w:val="32"/>
          <w:szCs w:val="32"/>
          <w:highlight w:val="none"/>
          <w:lang w:val="en-US" w:eastAsia="zh-CN" w:bidi="ar-SA"/>
        </w:rPr>
        <w:t>96</w:t>
      </w:r>
      <w:r>
        <w:rPr>
          <w:rFonts w:hint="eastAsia" w:ascii="Times New Roman" w:hAnsi="Times New Roman" w:eastAsia="仿宋_GB2312" w:cs="仿宋_GB2312"/>
          <w:color w:val="auto"/>
          <w:kern w:val="2"/>
          <w:sz w:val="32"/>
          <w:szCs w:val="32"/>
          <w:highlight w:val="none"/>
          <w:lang w:val="en-US" w:eastAsia="zh-CN" w:bidi="ar-SA"/>
        </w:rPr>
        <w:t>分。绩效自评报告详见附件</w:t>
      </w:r>
      <w:r>
        <w:rPr>
          <w:rFonts w:hint="eastAsia" w:eastAsia="仿宋_GB2312" w:cs="仿宋_GB2312"/>
          <w:color w:val="auto"/>
          <w:kern w:val="2"/>
          <w:sz w:val="32"/>
          <w:szCs w:val="32"/>
          <w:highlight w:val="none"/>
          <w:lang w:val="en-US" w:eastAsia="zh-CN" w:bidi="ar-SA"/>
        </w:rPr>
        <w:t>。</w:t>
      </w:r>
    </w:p>
    <w:p w14:paraId="56964C76">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p>
    <w:p w14:paraId="3E99ABCF">
      <w:pPr>
        <w:pStyle w:val="13"/>
        <w:rPr>
          <w:rFonts w:hint="eastAsia" w:ascii="Times New Roman" w:hAnsi="Times New Roman" w:eastAsia="仿宋_GB2312" w:cs="仿宋_GB2312"/>
          <w:color w:val="auto"/>
          <w:kern w:val="2"/>
          <w:sz w:val="32"/>
          <w:szCs w:val="32"/>
          <w:highlight w:val="none"/>
          <w:lang w:val="en-US" w:eastAsia="zh-CN" w:bidi="ar-SA"/>
        </w:rPr>
      </w:pPr>
    </w:p>
    <w:p w14:paraId="32F870B4">
      <w:pPr>
        <w:pStyle w:val="7"/>
        <w:rPr>
          <w:rFonts w:hint="eastAsia" w:ascii="Times New Roman" w:hAnsi="Times New Roman" w:eastAsia="仿宋_GB2312" w:cs="仿宋_GB2312"/>
          <w:color w:val="auto"/>
          <w:kern w:val="2"/>
          <w:sz w:val="32"/>
          <w:szCs w:val="32"/>
          <w:highlight w:val="none"/>
          <w:lang w:val="en-US" w:eastAsia="zh-CN" w:bidi="ar-SA"/>
        </w:rPr>
      </w:pPr>
    </w:p>
    <w:p w14:paraId="33690033">
      <w:pPr>
        <w:pStyle w:val="7"/>
        <w:rPr>
          <w:rFonts w:hint="eastAsia" w:ascii="Times New Roman" w:hAnsi="Times New Roman" w:eastAsia="仿宋_GB2312" w:cs="仿宋_GB2312"/>
          <w:color w:val="auto"/>
          <w:kern w:val="2"/>
          <w:sz w:val="32"/>
          <w:szCs w:val="32"/>
          <w:highlight w:val="none"/>
          <w:lang w:val="en-US" w:eastAsia="zh-CN" w:bidi="ar-SA"/>
        </w:rPr>
      </w:pPr>
    </w:p>
    <w:p w14:paraId="4286E31A">
      <w:pPr>
        <w:pStyle w:val="7"/>
        <w:rPr>
          <w:rFonts w:hint="eastAsia" w:ascii="Times New Roman" w:hAnsi="Times New Roman" w:eastAsia="仿宋_GB2312" w:cs="仿宋_GB2312"/>
          <w:color w:val="auto"/>
          <w:kern w:val="2"/>
          <w:sz w:val="32"/>
          <w:szCs w:val="32"/>
          <w:highlight w:val="none"/>
          <w:lang w:val="en-US" w:eastAsia="zh-CN" w:bidi="ar-SA"/>
        </w:rPr>
      </w:pPr>
    </w:p>
    <w:p w14:paraId="37CB2AFF">
      <w:pPr>
        <w:pStyle w:val="7"/>
        <w:rPr>
          <w:rFonts w:hint="eastAsia" w:ascii="Times New Roman" w:hAnsi="Times New Roman" w:eastAsia="仿宋_GB2312" w:cs="仿宋_GB2312"/>
          <w:color w:val="auto"/>
          <w:kern w:val="2"/>
          <w:sz w:val="32"/>
          <w:szCs w:val="32"/>
          <w:highlight w:val="none"/>
          <w:lang w:val="en-US" w:eastAsia="zh-CN" w:bidi="ar-SA"/>
        </w:rPr>
      </w:pPr>
    </w:p>
    <w:p w14:paraId="4356DB1E">
      <w:pPr>
        <w:pStyle w:val="7"/>
        <w:rPr>
          <w:rFonts w:hint="eastAsia" w:ascii="Times New Roman" w:hAnsi="Times New Roman" w:eastAsia="仿宋_GB2312" w:cs="仿宋_GB2312"/>
          <w:color w:val="auto"/>
          <w:kern w:val="2"/>
          <w:sz w:val="32"/>
          <w:szCs w:val="32"/>
          <w:highlight w:val="none"/>
          <w:lang w:val="en-US" w:eastAsia="zh-CN" w:bidi="ar-SA"/>
        </w:rPr>
      </w:pPr>
    </w:p>
    <w:p w14:paraId="4906FB5E">
      <w:pPr>
        <w:pStyle w:val="7"/>
        <w:rPr>
          <w:rFonts w:hint="eastAsia" w:ascii="Times New Roman" w:hAnsi="Times New Roman" w:eastAsia="仿宋_GB2312" w:cs="仿宋_GB2312"/>
          <w:color w:val="auto"/>
          <w:kern w:val="2"/>
          <w:sz w:val="32"/>
          <w:szCs w:val="32"/>
          <w:highlight w:val="none"/>
          <w:lang w:val="en-US" w:eastAsia="zh-CN" w:bidi="ar-SA"/>
        </w:rPr>
      </w:pPr>
    </w:p>
    <w:p w14:paraId="7C34D4BD">
      <w:pPr>
        <w:pStyle w:val="7"/>
        <w:rPr>
          <w:rFonts w:hint="eastAsia" w:ascii="Times New Roman" w:hAnsi="Times New Roman" w:eastAsia="仿宋_GB2312" w:cs="仿宋_GB2312"/>
          <w:color w:val="auto"/>
          <w:kern w:val="2"/>
          <w:sz w:val="32"/>
          <w:szCs w:val="32"/>
          <w:highlight w:val="none"/>
          <w:lang w:val="en-US" w:eastAsia="zh-CN" w:bidi="ar-SA"/>
        </w:rPr>
      </w:pPr>
    </w:p>
    <w:p w14:paraId="5469EE4B">
      <w:pPr>
        <w:pStyle w:val="7"/>
        <w:rPr>
          <w:rFonts w:hint="eastAsia" w:ascii="Times New Roman" w:hAnsi="Times New Roman" w:eastAsia="仿宋_GB2312" w:cs="仿宋_GB2312"/>
          <w:color w:val="auto"/>
          <w:kern w:val="2"/>
          <w:sz w:val="32"/>
          <w:szCs w:val="32"/>
          <w:highlight w:val="none"/>
          <w:lang w:val="en-US" w:eastAsia="zh-CN" w:bidi="ar-SA"/>
        </w:rPr>
      </w:pPr>
    </w:p>
    <w:p w14:paraId="000BDE0E">
      <w:pPr>
        <w:pStyle w:val="7"/>
        <w:rPr>
          <w:rFonts w:hint="eastAsia" w:ascii="Times New Roman" w:hAnsi="Times New Roman" w:eastAsia="仿宋_GB2312" w:cs="仿宋_GB2312"/>
          <w:color w:val="auto"/>
          <w:kern w:val="2"/>
          <w:sz w:val="32"/>
          <w:szCs w:val="32"/>
          <w:highlight w:val="none"/>
          <w:lang w:val="en-US" w:eastAsia="zh-CN" w:bidi="ar-SA"/>
        </w:rPr>
      </w:pPr>
    </w:p>
    <w:p w14:paraId="5C6B74D0">
      <w:pPr>
        <w:pStyle w:val="7"/>
        <w:rPr>
          <w:rFonts w:hint="eastAsia" w:ascii="Times New Roman" w:hAnsi="Times New Roman" w:eastAsia="仿宋_GB2312" w:cs="仿宋_GB2312"/>
          <w:color w:val="auto"/>
          <w:kern w:val="2"/>
          <w:sz w:val="32"/>
          <w:szCs w:val="32"/>
          <w:highlight w:val="none"/>
          <w:lang w:val="en-US" w:eastAsia="zh-CN" w:bidi="ar-SA"/>
        </w:rPr>
      </w:pPr>
    </w:p>
    <w:p w14:paraId="4F0C5D48">
      <w:pPr>
        <w:pStyle w:val="7"/>
        <w:rPr>
          <w:rFonts w:hint="eastAsia" w:ascii="Times New Roman" w:hAnsi="Times New Roman" w:eastAsia="仿宋_GB2312" w:cs="仿宋_GB2312"/>
          <w:color w:val="auto"/>
          <w:kern w:val="2"/>
          <w:sz w:val="32"/>
          <w:szCs w:val="32"/>
          <w:highlight w:val="none"/>
          <w:lang w:val="en-US" w:eastAsia="zh-CN" w:bidi="ar-SA"/>
        </w:rPr>
      </w:pPr>
    </w:p>
    <w:p w14:paraId="28E0B450">
      <w:pPr>
        <w:pStyle w:val="7"/>
        <w:rPr>
          <w:rFonts w:hint="eastAsia" w:ascii="Times New Roman" w:hAnsi="Times New Roman" w:eastAsia="仿宋_GB2312" w:cs="仿宋_GB2312"/>
          <w:color w:val="auto"/>
          <w:kern w:val="2"/>
          <w:sz w:val="32"/>
          <w:szCs w:val="32"/>
          <w:highlight w:val="none"/>
          <w:lang w:val="en-US" w:eastAsia="zh-CN" w:bidi="ar-SA"/>
        </w:rPr>
      </w:pPr>
    </w:p>
    <w:p w14:paraId="0D31152C">
      <w:pPr>
        <w:pStyle w:val="7"/>
        <w:rPr>
          <w:rFonts w:hint="eastAsia" w:ascii="Times New Roman" w:hAnsi="Times New Roman" w:eastAsia="仿宋_GB2312" w:cs="仿宋_GB2312"/>
          <w:color w:val="auto"/>
          <w:kern w:val="2"/>
          <w:sz w:val="32"/>
          <w:szCs w:val="32"/>
          <w:highlight w:val="none"/>
          <w:lang w:val="en-US" w:eastAsia="zh-CN" w:bidi="ar-SA"/>
        </w:rPr>
      </w:pPr>
    </w:p>
    <w:p w14:paraId="6595B7C1">
      <w:pPr>
        <w:numPr>
          <w:ilvl w:val="0"/>
          <w:numId w:val="0"/>
        </w:numPr>
        <w:spacing w:line="600" w:lineRule="exact"/>
        <w:jc w:val="center"/>
        <w:outlineLvl w:val="0"/>
        <w:rPr>
          <w:rFonts w:hint="eastAsia" w:ascii="Times New Roman" w:hAnsi="Times New Roman" w:eastAsia="黑体"/>
          <w:color w:val="auto"/>
          <w:sz w:val="44"/>
          <w:szCs w:val="44"/>
          <w:highlight w:val="none"/>
        </w:rPr>
      </w:pPr>
      <w:bookmarkStart w:id="51" w:name="_Toc15396613"/>
      <w:bookmarkStart w:id="52" w:name="_Toc15377225"/>
      <w:r>
        <w:rPr>
          <w:rFonts w:hint="eastAsia" w:ascii="Times New Roman" w:hAnsi="Times New Roman" w:eastAsia="黑体"/>
          <w:color w:val="auto"/>
          <w:sz w:val="44"/>
          <w:szCs w:val="44"/>
          <w:highlight w:val="none"/>
        </w:rPr>
        <w:t>第</w:t>
      </w:r>
      <w:r>
        <w:rPr>
          <w:rFonts w:hint="eastAsia" w:eastAsia="黑体"/>
          <w:color w:val="auto"/>
          <w:sz w:val="44"/>
          <w:szCs w:val="44"/>
          <w:highlight w:val="none"/>
          <w:lang w:eastAsia="zh-CN"/>
        </w:rPr>
        <w:t>三</w:t>
      </w:r>
      <w:r>
        <w:rPr>
          <w:rFonts w:hint="eastAsia" w:ascii="Times New Roman" w:hAnsi="Times New Roman" w:eastAsia="黑体"/>
          <w:color w:val="auto"/>
          <w:sz w:val="44"/>
          <w:szCs w:val="44"/>
          <w:highlight w:val="none"/>
        </w:rPr>
        <w:t>部分</w:t>
      </w:r>
      <w:r>
        <w:rPr>
          <w:rFonts w:hint="eastAsia" w:ascii="Times New Roman" w:hAnsi="Times New Roman" w:eastAsia="黑体"/>
          <w:color w:val="auto"/>
          <w:sz w:val="44"/>
          <w:szCs w:val="44"/>
          <w:highlight w:val="none"/>
          <w:lang w:val="en-US" w:eastAsia="zh-CN"/>
        </w:rPr>
        <w:t xml:space="preserve"> </w:t>
      </w:r>
      <w:r>
        <w:rPr>
          <w:rFonts w:hint="eastAsia" w:eastAsia="黑体"/>
          <w:color w:val="auto"/>
          <w:sz w:val="44"/>
          <w:szCs w:val="44"/>
          <w:highlight w:val="none"/>
          <w:lang w:val="en-US" w:eastAsia="zh-CN"/>
        </w:rPr>
        <w:t xml:space="preserve"> </w:t>
      </w:r>
      <w:r>
        <w:rPr>
          <w:rFonts w:hint="eastAsia" w:ascii="Times New Roman" w:hAnsi="Times New Roman" w:eastAsia="黑体"/>
          <w:color w:val="auto"/>
          <w:sz w:val="44"/>
          <w:szCs w:val="44"/>
          <w:highlight w:val="none"/>
        </w:rPr>
        <w:t>名词解释</w:t>
      </w:r>
      <w:bookmarkEnd w:id="51"/>
      <w:bookmarkEnd w:id="52"/>
    </w:p>
    <w:p w14:paraId="7FF29322">
      <w:pPr>
        <w:spacing w:line="600" w:lineRule="exact"/>
        <w:jc w:val="left"/>
        <w:rPr>
          <w:rFonts w:ascii="Times New Roman" w:hAnsi="Times New Roman"/>
          <w:b/>
          <w:color w:val="auto"/>
          <w:sz w:val="44"/>
          <w:szCs w:val="44"/>
          <w:highlight w:val="none"/>
        </w:rPr>
      </w:pPr>
    </w:p>
    <w:p w14:paraId="29A61448">
      <w:pPr>
        <w:pStyle w:val="26"/>
        <w:spacing w:line="560" w:lineRule="exact"/>
        <w:ind w:firstLine="640" w:firstLineChars="200"/>
        <w:rPr>
          <w:rFonts w:hint="eastAsia" w:ascii="仿宋_GB2312" w:eastAsia="仿宋_GB2312"/>
          <w:color w:val="auto"/>
          <w:sz w:val="32"/>
          <w:szCs w:val="32"/>
          <w:highlight w:val="none"/>
        </w:rPr>
      </w:pPr>
      <w:bookmarkStart w:id="53" w:name="_Toc15377226"/>
      <w:r>
        <w:rPr>
          <w:rFonts w:hint="eastAsia" w:ascii="仿宋_GB2312" w:eastAsia="仿宋_GB2312"/>
          <w:color w:val="auto"/>
          <w:sz w:val="32"/>
          <w:szCs w:val="32"/>
          <w:highlight w:val="none"/>
          <w:lang w:val="en-US" w:eastAsia="zh-CN"/>
        </w:rPr>
        <w:t>1.</w:t>
      </w:r>
      <w:r>
        <w:rPr>
          <w:rFonts w:hint="eastAsia" w:ascii="仿宋_GB2312" w:eastAsia="仿宋_GB2312"/>
          <w:color w:val="auto"/>
          <w:sz w:val="32"/>
          <w:szCs w:val="32"/>
          <w:highlight w:val="none"/>
        </w:rPr>
        <w:t>财政拨款收入：指单位从同级财政部门取得的财政预算资金。</w:t>
      </w:r>
    </w:p>
    <w:p w14:paraId="7695C97A">
      <w:pPr>
        <w:pStyle w:val="26"/>
        <w:spacing w:line="560" w:lineRule="exact"/>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2.</w:t>
      </w:r>
      <w:r>
        <w:rPr>
          <w:rFonts w:hint="eastAsia" w:ascii="仿宋_GB2312" w:eastAsia="仿宋_GB2312"/>
          <w:color w:val="auto"/>
          <w:sz w:val="32"/>
          <w:szCs w:val="32"/>
          <w:highlight w:val="none"/>
        </w:rPr>
        <w:t>事业收入：指事业单位开展专业业务活动及辅助活动取得的收入。</w:t>
      </w:r>
    </w:p>
    <w:p w14:paraId="264873C5">
      <w:pPr>
        <w:pStyle w:val="26"/>
        <w:spacing w:line="560" w:lineRule="exact"/>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3.</w:t>
      </w:r>
      <w:r>
        <w:rPr>
          <w:rFonts w:hint="eastAsia" w:ascii="仿宋_GB2312" w:eastAsia="仿宋_GB2312"/>
          <w:color w:val="auto"/>
          <w:sz w:val="32"/>
          <w:szCs w:val="32"/>
          <w:highlight w:val="none"/>
        </w:rPr>
        <w:t>经营收入：指事业单位在专业业务活动及其辅助活动之外开展非独立核算经营活动取得的收入。</w:t>
      </w:r>
    </w:p>
    <w:p w14:paraId="19BD42D7">
      <w:pPr>
        <w:pStyle w:val="26"/>
        <w:spacing w:line="560" w:lineRule="exact"/>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4.</w:t>
      </w:r>
      <w:r>
        <w:rPr>
          <w:rFonts w:hint="eastAsia" w:ascii="仿宋_GB2312" w:eastAsia="仿宋_GB2312"/>
          <w:color w:val="auto"/>
          <w:sz w:val="32"/>
          <w:szCs w:val="32"/>
          <w:highlight w:val="none"/>
        </w:rPr>
        <w:t>其他收入：指单位取得的除上述收入以外的各项收入。</w:t>
      </w:r>
    </w:p>
    <w:p w14:paraId="6329712F">
      <w:pPr>
        <w:pStyle w:val="26"/>
        <w:spacing w:line="560" w:lineRule="exact"/>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5.</w:t>
      </w:r>
      <w:r>
        <w:rPr>
          <w:rFonts w:hint="eastAsia" w:ascii="仿宋_GB2312" w:eastAsia="仿宋_GB2312"/>
          <w:color w:val="auto"/>
          <w:sz w:val="32"/>
          <w:szCs w:val="32"/>
          <w:highlight w:val="none"/>
        </w:rPr>
        <w:t>使用非财政拨款结余：指事业单位使用以前年度积累的非财政拨款结余弥补当年收支差额的金额。</w:t>
      </w:r>
    </w:p>
    <w:p w14:paraId="29D01F42">
      <w:pPr>
        <w:pStyle w:val="26"/>
        <w:spacing w:line="560" w:lineRule="exact"/>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6.</w:t>
      </w:r>
      <w:r>
        <w:rPr>
          <w:rFonts w:hint="eastAsia" w:ascii="仿宋_GB2312" w:eastAsia="仿宋_GB2312"/>
          <w:color w:val="auto"/>
          <w:sz w:val="32"/>
          <w:szCs w:val="32"/>
          <w:highlight w:val="none"/>
        </w:rPr>
        <w:t>年初结转和结余：指以前年度尚未完成、结转到本年按有关规定继续使用的资金。</w:t>
      </w:r>
    </w:p>
    <w:p w14:paraId="078F5AA3">
      <w:pPr>
        <w:pStyle w:val="26"/>
        <w:spacing w:line="560" w:lineRule="exact"/>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7.</w:t>
      </w:r>
      <w:r>
        <w:rPr>
          <w:rFonts w:hint="eastAsia" w:ascii="仿宋_GB2312" w:eastAsia="仿宋_GB2312"/>
          <w:color w:val="auto"/>
          <w:sz w:val="32"/>
          <w:szCs w:val="32"/>
          <w:highlight w:val="none"/>
        </w:rPr>
        <w:t>结余分配：指事业单位按照会计制度规定缴纳的所得税、提取的专用结余以及转入非财政拨款结余的金额等。</w:t>
      </w:r>
    </w:p>
    <w:p w14:paraId="0A2E0A5B">
      <w:pPr>
        <w:pStyle w:val="26"/>
        <w:spacing w:line="560" w:lineRule="exact"/>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8</w:t>
      </w:r>
      <w:r>
        <w:rPr>
          <w:rFonts w:hint="eastAsia" w:ascii="仿宋_GB2312" w:eastAsia="仿宋_GB2312"/>
          <w:color w:val="auto"/>
          <w:sz w:val="32"/>
          <w:szCs w:val="32"/>
          <w:highlight w:val="none"/>
        </w:rPr>
        <w:t>、年末结转和结余：指单位按有关规定结转到下年或以后年度继续使用的资金。</w:t>
      </w:r>
    </w:p>
    <w:p w14:paraId="26FB70C5">
      <w:pPr>
        <w:pStyle w:val="26"/>
        <w:spacing w:line="560" w:lineRule="exact"/>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9.</w:t>
      </w:r>
      <w:r>
        <w:rPr>
          <w:rFonts w:hint="eastAsia" w:ascii="仿宋_GB2312" w:eastAsia="仿宋_GB2312"/>
          <w:color w:val="auto"/>
          <w:sz w:val="32"/>
          <w:szCs w:val="32"/>
          <w:highlight w:val="none"/>
        </w:rPr>
        <w:t>一般公共服务（类）党委办公厅（室）及相关机构事务（款）行政运行（项）：指用于保障政法委机关正常运转的基本支出。</w:t>
      </w:r>
    </w:p>
    <w:p w14:paraId="52252E3C">
      <w:pPr>
        <w:pStyle w:val="26"/>
        <w:spacing w:line="560" w:lineRule="exact"/>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10.一般公共服务（类）党委办公厅（室）及相关机构事务（款）一般行政管理事务（项）:指用于保障政法委机关及事业单位正常运转，为完成特定的工作任务，用于一般行政管理事务方面的经费支出。</w:t>
      </w:r>
    </w:p>
    <w:p w14:paraId="1E3EEE13">
      <w:pPr>
        <w:pStyle w:val="26"/>
        <w:spacing w:line="560" w:lineRule="exact"/>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 xml:space="preserve"> 11.一般公共服务（类）党委办公厅（室）及相关机构事务（款）事业运行（项）:指用于保障事业单位正常运转，用于事业运行方面的经费支出。</w:t>
      </w:r>
    </w:p>
    <w:p w14:paraId="4165F14E">
      <w:pPr>
        <w:pStyle w:val="26"/>
        <w:spacing w:line="560" w:lineRule="exact"/>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 xml:space="preserve"> 12.一般公共服务（类）党委办公厅（室）及相关机构事务（款）其他党委办公厅（室）及相关机构事务支出（项）:指用于除上述项目以外用于政法委机关及机关机构事务支出。</w:t>
      </w:r>
    </w:p>
    <w:p w14:paraId="4375B9B4">
      <w:pPr>
        <w:pStyle w:val="26"/>
        <w:spacing w:line="560" w:lineRule="exact"/>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13.公共安全支出（类）公安（款）一般行政管理事务（项）:指未单独设置项级科目的其他项目支出。</w:t>
      </w:r>
    </w:p>
    <w:p w14:paraId="20323CA6">
      <w:pPr>
        <w:pStyle w:val="26"/>
        <w:spacing w:line="560" w:lineRule="exact"/>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14.公共安全支出（类）其他公共安全（款）其他公共安全支出（项）：指除上述项目以外其他用于公安方面的支出。</w:t>
      </w:r>
    </w:p>
    <w:p w14:paraId="28774018">
      <w:pPr>
        <w:pStyle w:val="26"/>
        <w:spacing w:line="560" w:lineRule="exact"/>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15.社会保障和就业支出（类）行政事业单位养老支出（款）行政单位离退休（项）:指机关事业单位开支的离退休经费。</w:t>
      </w:r>
    </w:p>
    <w:p w14:paraId="35137B0D">
      <w:pPr>
        <w:pStyle w:val="26"/>
        <w:spacing w:line="560" w:lineRule="exact"/>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 xml:space="preserve"> 16.社会保障和就业支出（类）行政事业单位离退休（款）机关事业单位基本养老保险缴费支出（项）:指用于机关事业单位基本养老保险缴费支出。</w:t>
      </w:r>
    </w:p>
    <w:p w14:paraId="52DDE027">
      <w:pPr>
        <w:pStyle w:val="26"/>
        <w:spacing w:line="560" w:lineRule="exact"/>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 xml:space="preserve"> 17.社会保障和就业支出（类）行政事业单位离退休（款）机关事业单位职业年金缴费支出（项）:指用于机关事业单位职业年金缴费支出。</w:t>
      </w:r>
    </w:p>
    <w:p w14:paraId="416D873F">
      <w:pPr>
        <w:pStyle w:val="26"/>
        <w:spacing w:line="560" w:lineRule="exact"/>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 xml:space="preserve"> 18.医疗卫生与计划生育支出（类）行政事业单位医疗（款）行政单位医疗（项）:指用于按政策规定为行政单位职工缴纳医疗保险金等支出。</w:t>
      </w:r>
    </w:p>
    <w:p w14:paraId="273DCDEC">
      <w:pPr>
        <w:pStyle w:val="26"/>
        <w:spacing w:line="560" w:lineRule="exact"/>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19.医疗卫生与计划生育支出（类）行政事业单位医疗（款）事业单位医疗（项）:指用于按政策规定为事业单位职工缴纳医疗保险金等支出。</w:t>
      </w:r>
    </w:p>
    <w:p w14:paraId="0EC35FF1">
      <w:pPr>
        <w:pStyle w:val="26"/>
        <w:spacing w:line="560" w:lineRule="exact"/>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20.医疗卫生与计划生育支出（类）行政事业单位医疗（款）公务员医疗补助（项）:指用于按政策规定为职工缴纳公务员医疗补助等支出。</w:t>
      </w:r>
    </w:p>
    <w:p w14:paraId="06AEB796">
      <w:pPr>
        <w:pStyle w:val="26"/>
        <w:spacing w:line="560" w:lineRule="exact"/>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21.住房保障支出（类）住房改革支出（款）住房公积金（项）:指用于按政策规定为职工缴纳的住房公积金支出。</w:t>
      </w:r>
    </w:p>
    <w:p w14:paraId="5E29B0EE">
      <w:pPr>
        <w:pStyle w:val="26"/>
        <w:spacing w:line="560" w:lineRule="exact"/>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22.住房保障支出（类）住房改革支出（款）购房补贴（项）:指用于按政策规定发给无房职工的购房补贴支出。</w:t>
      </w:r>
    </w:p>
    <w:p w14:paraId="16879E32">
      <w:pPr>
        <w:pStyle w:val="26"/>
        <w:spacing w:line="560" w:lineRule="exact"/>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23.基本支出：指为保障机构正常运转、完成日常工作任务而发生的人员支出和公用支出。</w:t>
      </w:r>
    </w:p>
    <w:p w14:paraId="557C3810">
      <w:pPr>
        <w:pStyle w:val="26"/>
        <w:spacing w:line="560" w:lineRule="exact"/>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24.项目支出：指在基本支出之外为完成特定行政任务和事业发展目标所发生的支出。</w:t>
      </w:r>
    </w:p>
    <w:p w14:paraId="66C31005">
      <w:pPr>
        <w:pStyle w:val="26"/>
        <w:spacing w:line="560" w:lineRule="exact"/>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25.经营支出：指事业单位在专业业务活动及其辅助活动之外开展非独立核算经营活动发生的支出。</w:t>
      </w:r>
    </w:p>
    <w:p w14:paraId="6F3C97ED">
      <w:pPr>
        <w:pStyle w:val="26"/>
        <w:spacing w:line="560" w:lineRule="exact"/>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26.“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5C83A8AB">
      <w:pPr>
        <w:spacing w:line="600" w:lineRule="exact"/>
        <w:jc w:val="left"/>
        <w:rPr>
          <w:rStyle w:val="28"/>
          <w:rFonts w:hint="eastAsia" w:ascii="Times New Roman" w:hAnsi="Times New Roman" w:eastAsia="黑体"/>
          <w:b w:val="0"/>
          <w:color w:val="auto"/>
          <w:highlight w:val="none"/>
          <w:lang w:eastAsia="zh-CN"/>
        </w:rPr>
      </w:pPr>
      <w:r>
        <w:rPr>
          <w:rFonts w:hint="eastAsia" w:ascii="仿宋_GB2312" w:eastAsia="仿宋_GB2312"/>
          <w:color w:val="auto"/>
          <w:sz w:val="32"/>
          <w:szCs w:val="32"/>
          <w:highlight w:val="none"/>
          <w:lang w:val="en-US" w:eastAsia="zh-CN"/>
        </w:rPr>
        <w:t xml:space="preserve">    </w:t>
      </w:r>
      <w:r>
        <w:rPr>
          <w:rFonts w:hint="eastAsia" w:ascii="仿宋_GB2312" w:eastAsia="仿宋_GB2312"/>
          <w:color w:val="auto"/>
          <w:sz w:val="32"/>
          <w:szCs w:val="32"/>
          <w:highlight w:val="none"/>
        </w:rPr>
        <w:t>27.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r>
        <w:rPr>
          <w:rFonts w:hint="eastAsia" w:ascii="Times New Roman" w:hAnsi="Times New Roman" w:eastAsia="仿宋_GB2312" w:cs="仿宋_GB2312"/>
          <w:color w:val="auto"/>
          <w:kern w:val="2"/>
          <w:sz w:val="32"/>
          <w:szCs w:val="32"/>
          <w:highlight w:val="none"/>
          <w:lang w:val="en-US" w:eastAsia="zh-CN" w:bidi="ar-SA"/>
        </w:rPr>
        <w:br w:type="page"/>
      </w:r>
      <w:bookmarkStart w:id="54" w:name="_Toc15396614"/>
      <w:r>
        <w:rPr>
          <w:rFonts w:hint="eastAsia" w:ascii="Times New Roman" w:hAnsi="Times New Roman" w:eastAsia="黑体"/>
          <w:color w:val="auto"/>
          <w:sz w:val="44"/>
          <w:szCs w:val="44"/>
          <w:highlight w:val="none"/>
        </w:rPr>
        <w:t>第四部分</w:t>
      </w:r>
      <w:r>
        <w:rPr>
          <w:rFonts w:hint="eastAsia" w:ascii="Times New Roman" w:hAnsi="Times New Roman" w:eastAsia="黑体"/>
          <w:color w:val="auto"/>
          <w:sz w:val="44"/>
          <w:szCs w:val="44"/>
          <w:highlight w:val="none"/>
          <w:lang w:val="en-US" w:eastAsia="zh-CN"/>
        </w:rPr>
        <w:t xml:space="preserve"> </w:t>
      </w:r>
      <w:r>
        <w:rPr>
          <w:rFonts w:hint="eastAsia" w:ascii="Times New Roman" w:hAnsi="Times New Roman" w:eastAsia="黑体"/>
          <w:color w:val="auto"/>
          <w:sz w:val="44"/>
          <w:szCs w:val="44"/>
          <w:highlight w:val="none"/>
        </w:rPr>
        <w:t xml:space="preserve"> 附件</w:t>
      </w:r>
      <w:bookmarkEnd w:id="54"/>
    </w:p>
    <w:p w14:paraId="08E83010">
      <w:pPr>
        <w:keepNext w:val="0"/>
        <w:keepLines w:val="0"/>
        <w:pageBreakBefore w:val="0"/>
        <w:kinsoku/>
        <w:wordWrap/>
        <w:overflowPunct/>
        <w:topLinePunct w:val="0"/>
        <w:autoSpaceDE/>
        <w:autoSpaceDN/>
        <w:bidi w:val="0"/>
        <w:spacing w:line="572" w:lineRule="exact"/>
        <w:jc w:val="left"/>
        <w:textAlignment w:val="auto"/>
        <w:outlineLvl w:val="0"/>
        <w:rPr>
          <w:rFonts w:hint="eastAsia" w:ascii="Times New Roman" w:hAnsi="Times New Roman" w:eastAsia="黑体" w:cs="黑体"/>
          <w:color w:val="FF0000"/>
          <w:sz w:val="32"/>
          <w:szCs w:val="32"/>
          <w:highlight w:val="none"/>
        </w:rPr>
      </w:pPr>
    </w:p>
    <w:p w14:paraId="479912E7">
      <w:pPr>
        <w:keepNext w:val="0"/>
        <w:keepLines w:val="0"/>
        <w:pageBreakBefore w:val="0"/>
        <w:kinsoku/>
        <w:wordWrap/>
        <w:overflowPunct/>
        <w:topLinePunct w:val="0"/>
        <w:autoSpaceDE/>
        <w:autoSpaceDN/>
        <w:bidi w:val="0"/>
        <w:spacing w:line="572" w:lineRule="exact"/>
        <w:jc w:val="left"/>
        <w:textAlignment w:val="auto"/>
        <w:outlineLvl w:val="0"/>
        <w:rPr>
          <w:rFonts w:hint="eastAsia" w:ascii="Times New Roman" w:hAnsi="Times New Roman" w:eastAsia="黑体" w:cs="方正小标宋简体"/>
          <w:color w:val="auto"/>
          <w:sz w:val="44"/>
          <w:szCs w:val="44"/>
          <w:highlight w:val="none"/>
          <w:lang w:val="en-US" w:eastAsia="zh-CN"/>
        </w:rPr>
      </w:pPr>
      <w:r>
        <w:rPr>
          <w:rFonts w:hint="eastAsia" w:ascii="Times New Roman" w:hAnsi="Times New Roman" w:eastAsia="黑体" w:cs="黑体"/>
          <w:color w:val="auto"/>
          <w:sz w:val="32"/>
          <w:szCs w:val="32"/>
          <w:highlight w:val="none"/>
        </w:rPr>
        <w:t>附件</w:t>
      </w:r>
      <w:r>
        <w:rPr>
          <w:rFonts w:hint="eastAsia" w:ascii="Times New Roman" w:hAnsi="Times New Roman" w:eastAsia="黑体" w:cs="黑体"/>
          <w:color w:val="auto"/>
          <w:sz w:val="32"/>
          <w:szCs w:val="32"/>
          <w:highlight w:val="none"/>
          <w:lang w:val="en-US" w:eastAsia="zh-CN"/>
        </w:rPr>
        <w:t>1</w:t>
      </w:r>
    </w:p>
    <w:p w14:paraId="526D4A2B">
      <w:pPr>
        <w:keepNext w:val="0"/>
        <w:keepLines w:val="0"/>
        <w:pageBreakBefore w:val="0"/>
        <w:widowControl/>
        <w:kinsoku/>
        <w:wordWrap/>
        <w:overflowPunct/>
        <w:topLinePunct w:val="0"/>
        <w:autoSpaceDE/>
        <w:autoSpaceDN/>
        <w:bidi w:val="0"/>
        <w:spacing w:line="578" w:lineRule="exact"/>
        <w:contextualSpacing/>
        <w:jc w:val="center"/>
        <w:textAlignment w:val="auto"/>
        <w:outlineLvl w:val="9"/>
        <w:rPr>
          <w:rFonts w:hint="default" w:ascii="Times New Roman" w:hAnsi="Times New Roman" w:eastAsia="方正小标宋简体" w:cs="Times New Roman"/>
          <w:b w:val="0"/>
          <w:bCs/>
          <w:sz w:val="44"/>
          <w:szCs w:val="44"/>
          <w:highlight w:val="none"/>
          <w:shd w:val="clear" w:color="auto" w:fill="FFFFFF"/>
        </w:rPr>
      </w:pPr>
    </w:p>
    <w:p w14:paraId="4FA2CF1B">
      <w:pPr>
        <w:keepNext w:val="0"/>
        <w:keepLines w:val="0"/>
        <w:pageBreakBefore w:val="0"/>
        <w:widowControl/>
        <w:kinsoku/>
        <w:wordWrap/>
        <w:overflowPunct/>
        <w:topLinePunct w:val="0"/>
        <w:autoSpaceDE/>
        <w:autoSpaceDN/>
        <w:bidi w:val="0"/>
        <w:spacing w:line="578" w:lineRule="exact"/>
        <w:contextualSpacing/>
        <w:jc w:val="center"/>
        <w:textAlignment w:val="auto"/>
        <w:outlineLvl w:val="9"/>
        <w:rPr>
          <w:rFonts w:hint="default" w:ascii="Times New Roman" w:hAnsi="Times New Roman" w:eastAsia="方正小标宋简体" w:cs="Times New Roman"/>
          <w:b w:val="0"/>
          <w:bCs/>
          <w:sz w:val="44"/>
          <w:szCs w:val="44"/>
          <w:highlight w:val="none"/>
          <w:shd w:val="clear" w:color="auto" w:fill="FFFFFF"/>
        </w:rPr>
      </w:pPr>
      <w:r>
        <w:rPr>
          <w:rFonts w:hint="default" w:ascii="Times New Roman" w:hAnsi="Times New Roman" w:eastAsia="方正小标宋简体" w:cs="Times New Roman"/>
          <w:b w:val="0"/>
          <w:bCs/>
          <w:sz w:val="44"/>
          <w:szCs w:val="44"/>
          <w:highlight w:val="none"/>
          <w:shd w:val="clear" w:color="auto" w:fill="FFFFFF"/>
        </w:rPr>
        <w:t>部门</w:t>
      </w:r>
      <w:r>
        <w:rPr>
          <w:rFonts w:hint="default" w:ascii="Times New Roman" w:hAnsi="Times New Roman" w:eastAsia="方正小标宋简体" w:cs="Times New Roman"/>
          <w:b w:val="0"/>
          <w:bCs/>
          <w:sz w:val="44"/>
          <w:szCs w:val="44"/>
          <w:highlight w:val="none"/>
          <w:shd w:val="clear" w:color="auto" w:fill="FFFFFF"/>
          <w:lang w:eastAsia="zh-CN"/>
        </w:rPr>
        <w:t>预算</w:t>
      </w:r>
      <w:r>
        <w:rPr>
          <w:rFonts w:hint="default" w:ascii="Times New Roman" w:hAnsi="Times New Roman" w:eastAsia="方正小标宋简体" w:cs="Times New Roman"/>
          <w:b w:val="0"/>
          <w:bCs/>
          <w:sz w:val="44"/>
          <w:szCs w:val="44"/>
          <w:highlight w:val="none"/>
          <w:shd w:val="clear" w:color="auto" w:fill="FFFFFF"/>
        </w:rPr>
        <w:t>绩效</w:t>
      </w:r>
      <w:r>
        <w:rPr>
          <w:rFonts w:hint="eastAsia" w:ascii="Times New Roman" w:hAnsi="Times New Roman" w:eastAsia="方正小标宋简体" w:cs="Times New Roman"/>
          <w:b w:val="0"/>
          <w:bCs/>
          <w:sz w:val="44"/>
          <w:szCs w:val="44"/>
          <w:highlight w:val="none"/>
          <w:shd w:val="clear" w:color="auto" w:fill="FFFFFF"/>
          <w:lang w:eastAsia="zh-CN"/>
        </w:rPr>
        <w:t>评价</w:t>
      </w:r>
      <w:r>
        <w:rPr>
          <w:rFonts w:hint="default" w:ascii="Times New Roman" w:hAnsi="Times New Roman" w:eastAsia="方正小标宋简体" w:cs="Times New Roman"/>
          <w:b w:val="0"/>
          <w:bCs/>
          <w:sz w:val="44"/>
          <w:szCs w:val="44"/>
          <w:highlight w:val="none"/>
          <w:shd w:val="clear" w:color="auto" w:fill="FFFFFF"/>
        </w:rPr>
        <w:t>报告</w:t>
      </w:r>
    </w:p>
    <w:p w14:paraId="7F529689">
      <w:pPr>
        <w:keepNext w:val="0"/>
        <w:keepLines w:val="0"/>
        <w:pageBreakBefore w:val="0"/>
        <w:widowControl/>
        <w:kinsoku/>
        <w:wordWrap/>
        <w:overflowPunct/>
        <w:topLinePunct w:val="0"/>
        <w:autoSpaceDE/>
        <w:autoSpaceDN/>
        <w:bidi w:val="0"/>
        <w:spacing w:line="578" w:lineRule="exact"/>
        <w:contextualSpacing/>
        <w:jc w:val="center"/>
        <w:textAlignment w:val="auto"/>
        <w:outlineLvl w:val="9"/>
        <w:rPr>
          <w:rFonts w:hint="default" w:ascii="Times New Roman" w:hAnsi="Times New Roman" w:eastAsia="仿宋_GB2312" w:cs="Times New Roman"/>
          <w:sz w:val="32"/>
          <w:szCs w:val="32"/>
          <w:highlight w:val="none"/>
          <w:shd w:val="clear" w:color="auto" w:fill="FFFFFF"/>
        </w:rPr>
      </w:pPr>
    </w:p>
    <w:p w14:paraId="188A64ED">
      <w:pPr>
        <w:keepNext w:val="0"/>
        <w:keepLines w:val="0"/>
        <w:pageBreakBefore w:val="0"/>
        <w:widowControl/>
        <w:kinsoku/>
        <w:wordWrap/>
        <w:overflowPunct/>
        <w:topLinePunct w:val="0"/>
        <w:autoSpaceDE/>
        <w:autoSpaceDN/>
        <w:bidi w:val="0"/>
        <w:adjustRightInd w:val="0"/>
        <w:snapToGrid w:val="0"/>
        <w:spacing w:line="578" w:lineRule="exact"/>
        <w:ind w:firstLine="480" w:firstLineChars="200"/>
        <w:contextualSpacing/>
        <w:jc w:val="left"/>
        <w:textAlignment w:val="auto"/>
        <w:outlineLvl w:val="9"/>
        <w:rPr>
          <w:rFonts w:hint="default" w:ascii="Times New Roman" w:hAnsi="Times New Roman" w:eastAsia="黑体" w:cs="Times New Roman"/>
          <w:color w:val="000000"/>
          <w:kern w:val="0"/>
          <w:sz w:val="24"/>
          <w:szCs w:val="32"/>
          <w:highlight w:val="none"/>
          <w:shd w:val="clear" w:color="auto" w:fill="FFFFFF"/>
        </w:rPr>
      </w:pPr>
    </w:p>
    <w:p w14:paraId="1D9CB878">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default" w:ascii="Times New Roman" w:hAnsi="Times New Roman" w:eastAsia="黑体" w:cs="Times New Roman"/>
          <w:color w:val="000000"/>
          <w:kern w:val="0"/>
          <w:sz w:val="32"/>
          <w:szCs w:val="32"/>
          <w:highlight w:val="none"/>
          <w:shd w:val="clear" w:color="auto" w:fill="FFFFFF"/>
          <w:lang w:val="zh-CN"/>
        </w:rPr>
      </w:pPr>
      <w:r>
        <w:rPr>
          <w:rFonts w:hint="eastAsia" w:ascii="Times New Roman" w:hAnsi="Times New Roman" w:eastAsia="黑体" w:cs="Times New Roman"/>
          <w:color w:val="000000"/>
          <w:kern w:val="0"/>
          <w:sz w:val="32"/>
          <w:szCs w:val="32"/>
          <w:highlight w:val="none"/>
          <w:shd w:val="clear" w:color="auto" w:fill="FFFFFF"/>
          <w:lang w:val="zh-CN"/>
        </w:rPr>
        <w:t>一、</w:t>
      </w:r>
      <w:r>
        <w:rPr>
          <w:rFonts w:hint="default" w:ascii="Times New Roman" w:hAnsi="Times New Roman" w:eastAsia="黑体" w:cs="Times New Roman"/>
          <w:color w:val="000000"/>
          <w:kern w:val="0"/>
          <w:sz w:val="32"/>
          <w:szCs w:val="32"/>
          <w:highlight w:val="none"/>
          <w:shd w:val="clear" w:color="auto" w:fill="FFFFFF"/>
          <w:lang w:val="zh-CN"/>
        </w:rPr>
        <w:t>部门（单位）基本情况</w:t>
      </w:r>
    </w:p>
    <w:p w14:paraId="2265AC9C">
      <w:pPr>
        <w:keepNext w:val="0"/>
        <w:keepLines w:val="0"/>
        <w:pageBreakBefore w:val="0"/>
        <w:widowControl/>
        <w:numPr>
          <w:ilvl w:val="0"/>
          <w:numId w:val="0"/>
        </w:numPr>
        <w:suppressAutoHyphens/>
        <w:kinsoku/>
        <w:wordWrap/>
        <w:overflowPunct/>
        <w:topLinePunct w:val="0"/>
        <w:autoSpaceDE/>
        <w:autoSpaceDN/>
        <w:bidi w:val="0"/>
        <w:adjustRightInd w:val="0"/>
        <w:snapToGrid w:val="0"/>
        <w:spacing w:line="578" w:lineRule="exact"/>
        <w:ind w:firstLine="643" w:firstLineChars="200"/>
        <w:contextualSpacing/>
        <w:jc w:val="left"/>
        <w:textAlignment w:val="auto"/>
        <w:outlineLvl w:val="9"/>
        <w:rPr>
          <w:rFonts w:hint="default" w:ascii="Times New Roman" w:hAnsi="Times New Roman" w:eastAsia="楷体_GB2312" w:cs="楷体_GB2312"/>
          <w:b/>
          <w:color w:val="auto"/>
          <w:sz w:val="32"/>
          <w:szCs w:val="32"/>
          <w:highlight w:val="none"/>
          <w:lang w:val="zh-CN"/>
        </w:rPr>
      </w:pPr>
      <w:r>
        <w:rPr>
          <w:rFonts w:hint="eastAsia" w:ascii="Times New Roman" w:hAnsi="Times New Roman" w:eastAsia="楷体_GB2312" w:cs="楷体_GB2312"/>
          <w:b/>
          <w:color w:val="auto"/>
          <w:sz w:val="32"/>
          <w:szCs w:val="32"/>
          <w:highlight w:val="none"/>
          <w:lang w:val="zh-CN"/>
        </w:rPr>
        <w:t>（一）</w:t>
      </w:r>
      <w:r>
        <w:rPr>
          <w:rFonts w:hint="default" w:ascii="Times New Roman" w:hAnsi="Times New Roman" w:eastAsia="楷体_GB2312" w:cs="楷体_GB2312"/>
          <w:b/>
          <w:color w:val="auto"/>
          <w:sz w:val="32"/>
          <w:szCs w:val="32"/>
          <w:highlight w:val="none"/>
          <w:lang w:val="zh-CN"/>
        </w:rPr>
        <w:t>机构组成。</w:t>
      </w:r>
    </w:p>
    <w:p w14:paraId="0457BF7C">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中国共产党泸州市委员会政法委员会（以下简称“市委政法委”）属党政机关，一级预算单位，属独立编制机构。</w:t>
      </w:r>
    </w:p>
    <w:p w14:paraId="2DDFEFB9">
      <w:pPr>
        <w:spacing w:line="600" w:lineRule="exact"/>
        <w:ind w:firstLine="640"/>
        <w:rPr>
          <w:rFonts w:hint="eastAsia" w:ascii="Times New Roman" w:hAnsi="Times New Roman" w:eastAsia="仿宋_GB2312" w:cs="仿宋_GB2312"/>
          <w:color w:val="auto"/>
          <w:kern w:val="2"/>
          <w:sz w:val="32"/>
          <w:szCs w:val="32"/>
          <w:highlight w:val="none"/>
          <w:lang w:val="zh-CN" w:eastAsia="zh-CN" w:bidi="ar-SA"/>
        </w:rPr>
      </w:pPr>
      <w:r>
        <w:rPr>
          <w:rFonts w:hint="eastAsia" w:ascii="Times New Roman" w:hAnsi="Times New Roman" w:eastAsia="仿宋_GB2312" w:cs="仿宋_GB2312"/>
          <w:color w:val="auto"/>
          <w:kern w:val="2"/>
          <w:sz w:val="32"/>
          <w:szCs w:val="32"/>
          <w:highlight w:val="none"/>
          <w:lang w:val="en-US" w:eastAsia="zh-CN" w:bidi="ar-SA"/>
        </w:rPr>
        <w:t>市委</w:t>
      </w:r>
      <w:r>
        <w:rPr>
          <w:rFonts w:hint="eastAsia" w:ascii="Times New Roman" w:hAnsi="Times New Roman" w:eastAsia="仿宋_GB2312" w:cs="仿宋_GB2312"/>
          <w:color w:val="auto"/>
          <w:kern w:val="2"/>
          <w:sz w:val="32"/>
          <w:szCs w:val="32"/>
          <w:highlight w:val="none"/>
          <w:lang w:val="zh-CN" w:eastAsia="zh-CN" w:bidi="ar-SA"/>
        </w:rPr>
        <w:t>政法委下属财政全额拨款事业单位市综治工作中心。</w:t>
      </w:r>
    </w:p>
    <w:p w14:paraId="08894A19">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_GB2312" w:cs="Times New Roman"/>
          <w:kern w:val="2"/>
          <w:sz w:val="32"/>
          <w:szCs w:val="32"/>
          <w:lang w:val="en-US" w:eastAsia="zh-CN" w:bidi="ar-SA"/>
        </w:rPr>
      </w:pPr>
      <w:r>
        <w:rPr>
          <w:rFonts w:hint="eastAsia" w:eastAsia="楷体_GB2312" w:cs="楷体_GB2312"/>
          <w:b/>
          <w:color w:val="auto"/>
          <w:sz w:val="32"/>
          <w:szCs w:val="32"/>
          <w:highlight w:val="none"/>
          <w:lang w:val="en-US" w:eastAsia="zh-CN"/>
        </w:rPr>
        <w:t>（二）</w:t>
      </w:r>
      <w:r>
        <w:rPr>
          <w:rFonts w:hint="default" w:ascii="Times New Roman" w:hAnsi="Times New Roman" w:eastAsia="楷体_GB2312" w:cs="楷体_GB2312"/>
          <w:b/>
          <w:color w:val="auto"/>
          <w:sz w:val="32"/>
          <w:szCs w:val="32"/>
          <w:highlight w:val="none"/>
          <w:lang w:val="zh-CN"/>
        </w:rPr>
        <w:t>机构职能</w:t>
      </w:r>
      <w:r>
        <w:rPr>
          <w:rFonts w:hint="eastAsia" w:ascii="Times New Roman" w:hAnsi="Times New Roman" w:eastAsia="楷体_GB2312" w:cs="楷体_GB2312"/>
          <w:b/>
          <w:color w:val="auto"/>
          <w:sz w:val="32"/>
          <w:szCs w:val="32"/>
          <w:highlight w:val="none"/>
          <w:lang w:val="zh-CN"/>
        </w:rPr>
        <w:t>。</w:t>
      </w:r>
    </w:p>
    <w:p w14:paraId="56173377">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default"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此项省略。</w:t>
      </w:r>
    </w:p>
    <w:p w14:paraId="282245A4">
      <w:pPr>
        <w:keepNext w:val="0"/>
        <w:keepLines w:val="0"/>
        <w:pageBreakBefore w:val="0"/>
        <w:widowControl w:val="0"/>
        <w:numPr>
          <w:ilvl w:val="0"/>
          <w:numId w:val="2"/>
        </w:numPr>
        <w:kinsoku/>
        <w:wordWrap/>
        <w:overflowPunct/>
        <w:topLinePunct w:val="0"/>
        <w:autoSpaceDE/>
        <w:autoSpaceDN/>
        <w:bidi w:val="0"/>
        <w:adjustRightInd/>
        <w:snapToGrid/>
        <w:spacing w:line="600" w:lineRule="exact"/>
        <w:ind w:left="0" w:leftChars="0" w:firstLine="643" w:firstLineChars="200"/>
        <w:textAlignment w:val="auto"/>
        <w:rPr>
          <w:rFonts w:hint="eastAsia" w:ascii="Times New Roman" w:hAnsi="Times New Roman" w:eastAsia="楷体_GB2312" w:cs="Times New Roman"/>
          <w:b/>
          <w:bCs/>
          <w:color w:val="000000"/>
          <w:kern w:val="0"/>
          <w:sz w:val="32"/>
          <w:szCs w:val="32"/>
          <w:highlight w:val="none"/>
          <w:shd w:val="clear" w:color="auto" w:fill="FFFFFF"/>
          <w:lang w:val="zh-CN"/>
        </w:rPr>
      </w:pPr>
      <w:r>
        <w:rPr>
          <w:rFonts w:hint="default" w:ascii="Times New Roman" w:hAnsi="Times New Roman" w:eastAsia="楷体_GB2312" w:cs="Times New Roman"/>
          <w:b/>
          <w:bCs/>
          <w:color w:val="000000"/>
          <w:kern w:val="0"/>
          <w:sz w:val="32"/>
          <w:szCs w:val="32"/>
          <w:highlight w:val="none"/>
          <w:shd w:val="clear" w:color="auto" w:fill="FFFFFF"/>
          <w:lang w:val="zh-CN"/>
        </w:rPr>
        <w:t>人员概况</w:t>
      </w:r>
      <w:r>
        <w:rPr>
          <w:rFonts w:hint="eastAsia" w:ascii="Times New Roman" w:hAnsi="Times New Roman" w:eastAsia="楷体_GB2312" w:cs="Times New Roman"/>
          <w:b/>
          <w:bCs/>
          <w:color w:val="000000"/>
          <w:kern w:val="0"/>
          <w:sz w:val="32"/>
          <w:szCs w:val="32"/>
          <w:highlight w:val="none"/>
          <w:shd w:val="clear" w:color="auto" w:fill="FFFFFF"/>
          <w:lang w:val="zh-CN"/>
        </w:rPr>
        <w:t>。</w:t>
      </w:r>
    </w:p>
    <w:p w14:paraId="499F44C2">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Cs w:val="32"/>
        </w:rPr>
      </w:pPr>
      <w:r>
        <w:rPr>
          <w:rFonts w:hint="eastAsia" w:ascii="仿宋_GB2312" w:hAnsi="仿宋_GB2312" w:eastAsia="仿宋_GB2312" w:cs="仿宋_GB2312"/>
          <w:sz w:val="32"/>
          <w:szCs w:val="32"/>
        </w:rPr>
        <w:t>截至2024年末，</w:t>
      </w:r>
      <w:r>
        <w:rPr>
          <w:rFonts w:hint="eastAsia" w:ascii="仿宋_GB2312" w:hAnsi="仿宋" w:eastAsia="仿宋_GB2312"/>
          <w:sz w:val="32"/>
          <w:szCs w:val="32"/>
        </w:rPr>
        <w:t>中国共产党泸州市委员会政法委员编制50人。其中：行政编制33人、工勤编制2名、事业编制15人。2024年在职在编人员50人，其中：行政人员33人（其中：5名驻市委政法委纪检监察组人员），工勤人员2人，事业人员15人。与2023年51人比，减少公务员1名。</w:t>
      </w:r>
    </w:p>
    <w:p w14:paraId="34392A31">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default" w:ascii="Times New Roman" w:hAnsi="Times New Roman" w:eastAsia="黑体" w:cs="Times New Roman"/>
          <w:color w:val="000000"/>
          <w:kern w:val="0"/>
          <w:sz w:val="32"/>
          <w:szCs w:val="32"/>
          <w:highlight w:val="none"/>
          <w:shd w:val="clear" w:color="auto" w:fill="FFFFFF"/>
          <w:lang w:val="zh-CN" w:eastAsia="zh-CN"/>
        </w:rPr>
      </w:pPr>
    </w:p>
    <w:p w14:paraId="0A2BF992">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default" w:ascii="Times New Roman" w:hAnsi="Times New Roman" w:eastAsia="黑体" w:cs="Times New Roman"/>
          <w:color w:val="000000"/>
          <w:kern w:val="0"/>
          <w:sz w:val="32"/>
          <w:szCs w:val="32"/>
          <w:highlight w:val="none"/>
          <w:shd w:val="clear" w:color="auto" w:fill="FFFFFF"/>
          <w:lang w:val="zh-CN" w:eastAsia="zh-CN"/>
        </w:rPr>
      </w:pPr>
    </w:p>
    <w:p w14:paraId="0ACF1ACC">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default" w:ascii="Times New Roman" w:hAnsi="Times New Roman" w:eastAsia="黑体" w:cs="Times New Roman"/>
          <w:color w:val="000000"/>
          <w:kern w:val="0"/>
          <w:sz w:val="32"/>
          <w:szCs w:val="32"/>
          <w:highlight w:val="none"/>
          <w:shd w:val="clear" w:color="auto" w:fill="FFFFFF"/>
          <w:lang w:val="zh-CN" w:eastAsia="zh-CN"/>
        </w:rPr>
      </w:pPr>
      <w:r>
        <w:rPr>
          <w:rFonts w:hint="default" w:ascii="Times New Roman" w:hAnsi="Times New Roman" w:eastAsia="黑体" w:cs="Times New Roman"/>
          <w:color w:val="000000"/>
          <w:kern w:val="0"/>
          <w:sz w:val="32"/>
          <w:szCs w:val="32"/>
          <w:highlight w:val="none"/>
          <w:shd w:val="clear" w:color="auto" w:fill="FFFFFF"/>
          <w:lang w:val="zh-CN" w:eastAsia="zh-CN"/>
        </w:rPr>
        <w:t>二、部门资金收支情况</w:t>
      </w:r>
    </w:p>
    <w:p w14:paraId="55DD98F8">
      <w:pPr>
        <w:keepNext w:val="0"/>
        <w:keepLines w:val="0"/>
        <w:pageBreakBefore w:val="0"/>
        <w:widowControl w:val="0"/>
        <w:kinsoku/>
        <w:wordWrap/>
        <w:overflowPunct/>
        <w:topLinePunct w:val="0"/>
        <w:autoSpaceDE/>
        <w:autoSpaceDN/>
        <w:bidi w:val="0"/>
        <w:adjustRightInd w:val="0"/>
        <w:snapToGrid w:val="0"/>
        <w:spacing w:line="578" w:lineRule="exact"/>
        <w:ind w:firstLine="643" w:firstLineChars="200"/>
        <w:contextualSpacing/>
        <w:jc w:val="both"/>
        <w:textAlignment w:val="auto"/>
        <w:outlineLvl w:val="9"/>
        <w:rPr>
          <w:rFonts w:hint="default" w:ascii="Times New Roman" w:hAnsi="Times New Roman" w:eastAsia="楷体_GB2312" w:cs="Times New Roman"/>
          <w:b/>
          <w:bCs/>
          <w:color w:val="000000"/>
          <w:kern w:val="0"/>
          <w:sz w:val="32"/>
          <w:szCs w:val="32"/>
          <w:highlight w:val="none"/>
          <w:shd w:val="clear" w:color="auto" w:fill="FFFFFF"/>
          <w:lang w:val="zh-CN"/>
        </w:rPr>
      </w:pPr>
      <w:r>
        <w:rPr>
          <w:rFonts w:hint="default" w:ascii="Times New Roman" w:hAnsi="Times New Roman" w:eastAsia="楷体_GB2312" w:cs="Times New Roman"/>
          <w:b/>
          <w:bCs/>
          <w:color w:val="000000"/>
          <w:kern w:val="0"/>
          <w:sz w:val="32"/>
          <w:szCs w:val="32"/>
          <w:highlight w:val="none"/>
          <w:shd w:val="clear" w:color="auto" w:fill="FFFFFF"/>
          <w:lang w:val="zh-CN"/>
        </w:rPr>
        <w:t>（一）</w:t>
      </w:r>
      <w:r>
        <w:rPr>
          <w:rFonts w:hint="eastAsia" w:ascii="Times New Roman" w:hAnsi="Times New Roman" w:eastAsia="楷体_GB2312" w:cs="Times New Roman"/>
          <w:b/>
          <w:bCs/>
          <w:color w:val="000000"/>
          <w:kern w:val="0"/>
          <w:sz w:val="32"/>
          <w:szCs w:val="32"/>
          <w:highlight w:val="none"/>
          <w:shd w:val="clear" w:color="auto" w:fill="FFFFFF"/>
          <w:lang w:val="zh-CN"/>
        </w:rPr>
        <w:t>收入情况</w:t>
      </w:r>
      <w:r>
        <w:rPr>
          <w:rFonts w:hint="default" w:ascii="Times New Roman" w:hAnsi="Times New Roman" w:eastAsia="楷体_GB2312" w:cs="Times New Roman"/>
          <w:b/>
          <w:bCs/>
          <w:color w:val="000000"/>
          <w:kern w:val="0"/>
          <w:sz w:val="32"/>
          <w:szCs w:val="32"/>
          <w:highlight w:val="none"/>
          <w:shd w:val="clear" w:color="auto" w:fill="FFFFFF"/>
          <w:lang w:val="zh-CN"/>
        </w:rPr>
        <w:t>。</w:t>
      </w:r>
    </w:p>
    <w:p w14:paraId="475500BB">
      <w:pPr>
        <w:keepNext w:val="0"/>
        <w:keepLines w:val="0"/>
        <w:pageBreakBefore w:val="0"/>
        <w:widowControl/>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市委政法委2024年年初预算收入2263.79万元 、决算报表收入2254.91万元。</w:t>
      </w:r>
    </w:p>
    <w:p w14:paraId="12F19771">
      <w:pPr>
        <w:keepNext w:val="0"/>
        <w:keepLines w:val="0"/>
        <w:pageBreakBefore w:val="0"/>
        <w:widowControl w:val="0"/>
        <w:numPr>
          <w:ilvl w:val="0"/>
          <w:numId w:val="3"/>
        </w:numPr>
        <w:kinsoku/>
        <w:wordWrap/>
        <w:overflowPunct/>
        <w:topLinePunct w:val="0"/>
        <w:autoSpaceDE/>
        <w:autoSpaceDN/>
        <w:bidi w:val="0"/>
        <w:adjustRightInd w:val="0"/>
        <w:snapToGrid w:val="0"/>
        <w:spacing w:line="578" w:lineRule="exact"/>
        <w:ind w:leftChars="200" w:firstLine="321" w:firstLineChars="100"/>
        <w:contextualSpacing/>
        <w:jc w:val="both"/>
        <w:textAlignment w:val="auto"/>
        <w:outlineLvl w:val="9"/>
        <w:rPr>
          <w:rFonts w:hint="default" w:ascii="Times New Roman" w:hAnsi="Times New Roman" w:eastAsia="楷体_GB2312" w:cs="Times New Roman"/>
          <w:b/>
          <w:bCs/>
          <w:color w:val="000000"/>
          <w:kern w:val="0"/>
          <w:sz w:val="32"/>
          <w:szCs w:val="32"/>
          <w:highlight w:val="none"/>
          <w:shd w:val="clear" w:color="auto" w:fill="FFFFFF"/>
          <w:lang w:val="zh-CN"/>
        </w:rPr>
      </w:pPr>
      <w:r>
        <w:rPr>
          <w:rFonts w:hint="eastAsia" w:ascii="Times New Roman" w:hAnsi="Times New Roman" w:eastAsia="楷体_GB2312" w:cs="Times New Roman"/>
          <w:b/>
          <w:bCs/>
          <w:color w:val="000000"/>
          <w:kern w:val="0"/>
          <w:sz w:val="32"/>
          <w:szCs w:val="32"/>
          <w:highlight w:val="none"/>
          <w:shd w:val="clear" w:color="auto" w:fill="FFFFFF"/>
          <w:lang w:val="zh-CN"/>
        </w:rPr>
        <w:t>支出情况</w:t>
      </w:r>
      <w:r>
        <w:rPr>
          <w:rFonts w:hint="default" w:ascii="Times New Roman" w:hAnsi="Times New Roman" w:eastAsia="楷体_GB2312" w:cs="Times New Roman"/>
          <w:b/>
          <w:bCs/>
          <w:color w:val="000000"/>
          <w:kern w:val="0"/>
          <w:sz w:val="32"/>
          <w:szCs w:val="32"/>
          <w:highlight w:val="none"/>
          <w:shd w:val="clear" w:color="auto" w:fill="FFFFFF"/>
          <w:lang w:val="zh-CN"/>
        </w:rPr>
        <w:t>。</w:t>
      </w:r>
    </w:p>
    <w:p w14:paraId="39AA4106">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both"/>
        <w:textAlignment w:val="auto"/>
        <w:outlineLvl w:val="9"/>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市委政法委2024年年初预算支出2263.79万元、决算报表支出2254.91万元，基本支出类：完成了2024年我委的机关行政运行任务和人员费用支付任务。项目类：完成了法学会项目的课题任务，培训费项目完成了三场对全市政法干部、基层网格员、基层矛盾调解员的培训任务；平安建设项目，保障了市综治中心日常运转经、表彰见义勇为先进和保险费、开展政法重点工作宣传等工作任务；政法智能化建设经费，完成了政法专网租赁费、大调解信息网络服务费、长安网运行经费、全省政法系统办案平台运维费用、平安泸州态势分析平台建设，推动综治中心实体化运行。2024年达成的效果：保障了我委人员经费按时足额支付，行政正常运行和业务工作目标任务完成率95%以上。</w:t>
      </w:r>
    </w:p>
    <w:p w14:paraId="454B231A">
      <w:pPr>
        <w:keepNext w:val="0"/>
        <w:keepLines w:val="0"/>
        <w:pageBreakBefore w:val="0"/>
        <w:widowControl/>
        <w:numPr>
          <w:ilvl w:val="0"/>
          <w:numId w:val="3"/>
        </w:numPr>
        <w:kinsoku/>
        <w:wordWrap/>
        <w:overflowPunct/>
        <w:topLinePunct w:val="0"/>
        <w:autoSpaceDE/>
        <w:autoSpaceDN/>
        <w:bidi w:val="0"/>
        <w:adjustRightInd w:val="0"/>
        <w:snapToGrid w:val="0"/>
        <w:spacing w:line="578" w:lineRule="exact"/>
        <w:ind w:left="420" w:leftChars="200" w:firstLine="321" w:firstLineChars="100"/>
        <w:contextualSpacing/>
        <w:jc w:val="left"/>
        <w:textAlignment w:val="auto"/>
        <w:outlineLvl w:val="9"/>
        <w:rPr>
          <w:rFonts w:hint="eastAsia" w:ascii="Times New Roman" w:hAnsi="Times New Roman" w:eastAsia="楷体_GB2312" w:cs="Times New Roman"/>
          <w:b/>
          <w:bCs/>
          <w:color w:val="000000"/>
          <w:kern w:val="0"/>
          <w:sz w:val="32"/>
          <w:szCs w:val="32"/>
          <w:highlight w:val="none"/>
          <w:shd w:val="clear" w:color="auto" w:fill="FFFFFF"/>
          <w:lang w:val="zh-CN" w:eastAsia="zh-CN"/>
        </w:rPr>
      </w:pPr>
      <w:r>
        <w:rPr>
          <w:rFonts w:hint="default" w:ascii="Times New Roman" w:hAnsi="Times New Roman" w:eastAsia="楷体_GB2312" w:cs="Times New Roman"/>
          <w:b/>
          <w:bCs/>
          <w:color w:val="000000"/>
          <w:kern w:val="0"/>
          <w:sz w:val="32"/>
          <w:szCs w:val="32"/>
          <w:highlight w:val="none"/>
          <w:shd w:val="clear" w:color="auto" w:fill="FFFFFF"/>
          <w:lang w:val="zh-CN"/>
        </w:rPr>
        <w:t>结余分配和结转结余情况</w:t>
      </w:r>
      <w:r>
        <w:rPr>
          <w:rFonts w:hint="eastAsia" w:ascii="Times New Roman" w:hAnsi="Times New Roman" w:eastAsia="楷体_GB2312" w:cs="Times New Roman"/>
          <w:b/>
          <w:bCs/>
          <w:color w:val="000000"/>
          <w:kern w:val="0"/>
          <w:sz w:val="32"/>
          <w:szCs w:val="32"/>
          <w:highlight w:val="none"/>
          <w:shd w:val="clear" w:color="auto" w:fill="FFFFFF"/>
          <w:lang w:val="zh-CN" w:eastAsia="zh-CN"/>
        </w:rPr>
        <w:t>。</w:t>
      </w:r>
    </w:p>
    <w:p w14:paraId="0BF374CD">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leftChars="300"/>
        <w:contextualSpacing/>
        <w:jc w:val="left"/>
        <w:textAlignment w:val="auto"/>
        <w:outlineLvl w:val="9"/>
        <w:rPr>
          <w:rFonts w:hint="default" w:ascii="Times New Roman" w:hAnsi="Times New Roman" w:eastAsia="仿宋_GB2312" w:cs="Times New Roman"/>
          <w:b w:val="0"/>
          <w:bCs w:val="0"/>
          <w:color w:val="000000"/>
          <w:kern w:val="0"/>
          <w:szCs w:val="32"/>
          <w:highlight w:val="none"/>
          <w:shd w:val="clear" w:color="auto" w:fill="FFFFFF"/>
          <w:lang w:val="zh-CN" w:eastAsia="zh-CN"/>
        </w:rPr>
      </w:pPr>
      <w:r>
        <w:rPr>
          <w:rFonts w:hint="eastAsia" w:eastAsia="仿宋_GB2312" w:cs="仿宋_GB2312"/>
          <w:color w:val="auto"/>
          <w:kern w:val="2"/>
          <w:sz w:val="32"/>
          <w:szCs w:val="32"/>
          <w:highlight w:val="none"/>
          <w:lang w:val="en-US" w:eastAsia="zh-CN" w:bidi="ar-SA"/>
        </w:rPr>
        <w:t>泸州市委政法委</w:t>
      </w:r>
      <w:r>
        <w:rPr>
          <w:rFonts w:hint="eastAsia" w:ascii="Times New Roman" w:hAnsi="Times New Roman" w:eastAsia="仿宋_GB2312" w:cs="Times New Roman"/>
          <w:sz w:val="32"/>
          <w:szCs w:val="32"/>
          <w:lang w:val="en-US" w:eastAsia="zh-CN"/>
        </w:rPr>
        <w:t>2024年决算报表</w:t>
      </w:r>
      <w:r>
        <w:rPr>
          <w:rFonts w:hint="eastAsia" w:eastAsia="仿宋_GB2312" w:cs="Times New Roman"/>
          <w:sz w:val="32"/>
          <w:szCs w:val="32"/>
          <w:lang w:val="en-US" w:eastAsia="zh-CN"/>
        </w:rPr>
        <w:t>无</w:t>
      </w:r>
      <w:r>
        <w:rPr>
          <w:rFonts w:hint="default" w:ascii="Times New Roman" w:hAnsi="Times New Roman" w:eastAsia="仿宋_GB2312" w:cs="Times New Roman"/>
          <w:sz w:val="32"/>
          <w:szCs w:val="32"/>
          <w:lang w:val="en-US" w:eastAsia="zh-CN"/>
        </w:rPr>
        <w:t>结转结余</w:t>
      </w:r>
      <w:r>
        <w:rPr>
          <w:rFonts w:hint="eastAsia" w:ascii="Times New Roman" w:hAnsi="Times New Roman" w:eastAsia="仿宋_GB2312" w:cs="Times New Roman"/>
          <w:sz w:val="32"/>
          <w:szCs w:val="32"/>
          <w:lang w:val="en-US" w:eastAsia="zh-CN"/>
        </w:rPr>
        <w:t>情况</w:t>
      </w:r>
      <w:r>
        <w:rPr>
          <w:rFonts w:hint="default" w:ascii="Times New Roman" w:hAnsi="Times New Roman" w:eastAsia="仿宋_GB2312" w:cs="Times New Roman"/>
          <w:sz w:val="32"/>
          <w:szCs w:val="32"/>
          <w:lang w:val="en-US" w:eastAsia="zh-CN"/>
        </w:rPr>
        <w:t>。</w:t>
      </w:r>
    </w:p>
    <w:p w14:paraId="42FA98B5">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default" w:ascii="Times New Roman" w:hAnsi="Times New Roman" w:eastAsia="黑体" w:cs="Times New Roman"/>
          <w:color w:val="000000"/>
          <w:kern w:val="0"/>
          <w:sz w:val="32"/>
          <w:szCs w:val="32"/>
          <w:highlight w:val="none"/>
          <w:shd w:val="clear" w:color="auto" w:fill="FFFFFF"/>
          <w:lang w:val="zh-CN" w:eastAsia="zh-CN"/>
        </w:rPr>
      </w:pPr>
      <w:r>
        <w:rPr>
          <w:rFonts w:hint="default" w:ascii="Times New Roman" w:hAnsi="Times New Roman" w:eastAsia="黑体" w:cs="Times New Roman"/>
          <w:color w:val="000000"/>
          <w:kern w:val="0"/>
          <w:sz w:val="32"/>
          <w:szCs w:val="32"/>
          <w:highlight w:val="none"/>
          <w:shd w:val="clear" w:color="auto" w:fill="FFFFFF"/>
          <w:lang w:val="zh-CN" w:eastAsia="zh-CN"/>
        </w:rPr>
        <w:t>三、部门预算绩效分析</w:t>
      </w:r>
    </w:p>
    <w:p w14:paraId="69BE4A51">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3" w:firstLineChars="200"/>
        <w:contextualSpacing/>
        <w:jc w:val="left"/>
        <w:textAlignment w:val="auto"/>
        <w:outlineLvl w:val="9"/>
        <w:rPr>
          <w:rFonts w:hint="default" w:ascii="Times New Roman" w:hAnsi="Times New Roman" w:eastAsia="仿宋_GB2312" w:cs="仿宋_GB2312"/>
          <w:color w:val="auto"/>
          <w:kern w:val="2"/>
          <w:sz w:val="32"/>
          <w:szCs w:val="32"/>
          <w:highlight w:val="none"/>
          <w:lang w:val="zh-CN" w:eastAsia="zh-CN" w:bidi="ar-SA"/>
        </w:rPr>
      </w:pPr>
      <w:r>
        <w:rPr>
          <w:rFonts w:hint="default" w:ascii="Times New Roman" w:hAnsi="Times New Roman" w:eastAsia="楷体_GB2312" w:cs="Times New Roman"/>
          <w:b/>
          <w:bCs/>
          <w:color w:val="000000"/>
          <w:kern w:val="0"/>
          <w:sz w:val="32"/>
          <w:szCs w:val="32"/>
          <w:highlight w:val="none"/>
          <w:shd w:val="clear" w:color="auto" w:fill="FFFFFF"/>
          <w:lang w:val="zh-CN"/>
        </w:rPr>
        <w:t>（一）</w:t>
      </w:r>
      <w:r>
        <w:rPr>
          <w:rFonts w:hint="eastAsia" w:ascii="Times New Roman" w:hAnsi="Times New Roman" w:eastAsia="楷体_GB2312" w:cs="Times New Roman"/>
          <w:b/>
          <w:bCs/>
          <w:color w:val="000000"/>
          <w:kern w:val="0"/>
          <w:sz w:val="32"/>
          <w:szCs w:val="32"/>
          <w:highlight w:val="none"/>
          <w:shd w:val="clear" w:color="auto" w:fill="FFFFFF"/>
          <w:lang w:val="zh-CN"/>
        </w:rPr>
        <w:t>部门预算</w:t>
      </w:r>
      <w:r>
        <w:rPr>
          <w:rFonts w:hint="default" w:ascii="Times New Roman" w:hAnsi="Times New Roman" w:eastAsia="楷体_GB2312" w:cs="Times New Roman"/>
          <w:b/>
          <w:bCs/>
          <w:color w:val="000000"/>
          <w:kern w:val="0"/>
          <w:sz w:val="32"/>
          <w:szCs w:val="32"/>
          <w:highlight w:val="none"/>
          <w:shd w:val="clear" w:color="auto" w:fill="FFFFFF"/>
          <w:lang w:val="zh-CN"/>
        </w:rPr>
        <w:t>总体绩效分析。</w:t>
      </w:r>
    </w:p>
    <w:p w14:paraId="5AD0328B">
      <w:pPr>
        <w:adjustRightInd w:val="0"/>
        <w:snapToGrid w:val="0"/>
        <w:spacing w:line="578" w:lineRule="exact"/>
        <w:ind w:firstLine="640" w:firstLineChars="200"/>
        <w:contextualSpacing/>
        <w:jc w:val="left"/>
        <w:rPr>
          <w:rFonts w:hint="eastAsia" w:ascii="Times New Roman" w:hAnsi="Times New Roman" w:eastAsia="仿宋_GB2312" w:cs="仿宋_GB2312"/>
          <w:color w:val="auto"/>
          <w:kern w:val="2"/>
          <w:sz w:val="32"/>
          <w:szCs w:val="32"/>
          <w:highlight w:val="none"/>
          <w:lang w:val="zh-CN" w:eastAsia="zh-CN" w:bidi="ar-SA"/>
        </w:rPr>
      </w:pPr>
      <w:r>
        <w:rPr>
          <w:rFonts w:hint="eastAsia" w:ascii="Times New Roman" w:hAnsi="Times New Roman" w:eastAsia="仿宋_GB2312" w:cs="仿宋_GB2312"/>
          <w:color w:val="auto"/>
          <w:kern w:val="2"/>
          <w:sz w:val="32"/>
          <w:szCs w:val="32"/>
          <w:highlight w:val="none"/>
          <w:lang w:val="en-US" w:eastAsia="zh-CN" w:bidi="ar-SA"/>
        </w:rPr>
        <w:t>1.</w:t>
      </w:r>
      <w:r>
        <w:rPr>
          <w:rFonts w:hint="eastAsia" w:ascii="Times New Roman" w:hAnsi="Times New Roman" w:eastAsia="仿宋_GB2312" w:cs="仿宋_GB2312"/>
          <w:color w:val="auto"/>
          <w:kern w:val="2"/>
          <w:sz w:val="32"/>
          <w:szCs w:val="32"/>
          <w:highlight w:val="none"/>
          <w:lang w:val="zh-CN" w:eastAsia="zh-CN" w:bidi="ar-SA"/>
        </w:rPr>
        <w:t>履职效能。</w:t>
      </w:r>
    </w:p>
    <w:p w14:paraId="0C5B811B">
      <w:pPr>
        <w:spacing w:line="600" w:lineRule="exact"/>
        <w:ind w:firstLine="640"/>
        <w:rPr>
          <w:rFonts w:hint="eastAsia" w:ascii="Times New Roman" w:hAnsi="Times New Roman" w:eastAsia="仿宋_GB2312" w:cs="仿宋_GB2312"/>
          <w:color w:val="auto"/>
          <w:kern w:val="2"/>
          <w:sz w:val="32"/>
          <w:szCs w:val="32"/>
          <w:highlight w:val="none"/>
          <w:lang w:val="zh-CN" w:eastAsia="zh-CN" w:bidi="ar-SA"/>
        </w:rPr>
      </w:pPr>
      <w:r>
        <w:rPr>
          <w:rFonts w:hint="eastAsia" w:ascii="Times New Roman" w:hAnsi="Times New Roman" w:eastAsia="仿宋_GB2312" w:cs="仿宋_GB2312"/>
          <w:color w:val="auto"/>
          <w:kern w:val="2"/>
          <w:sz w:val="32"/>
          <w:szCs w:val="32"/>
          <w:highlight w:val="none"/>
          <w:lang w:val="zh-CN" w:eastAsia="zh-CN" w:bidi="ar-SA"/>
        </w:rPr>
        <w:t>（</w:t>
      </w:r>
      <w:r>
        <w:rPr>
          <w:rFonts w:hint="eastAsia" w:ascii="Times New Roman" w:hAnsi="Times New Roman" w:eastAsia="仿宋_GB2312" w:cs="仿宋_GB2312"/>
          <w:color w:val="auto"/>
          <w:kern w:val="2"/>
          <w:sz w:val="32"/>
          <w:szCs w:val="32"/>
          <w:highlight w:val="none"/>
          <w:lang w:val="en-US" w:eastAsia="zh-CN" w:bidi="ar-SA"/>
        </w:rPr>
        <w:t>1</w:t>
      </w:r>
      <w:r>
        <w:rPr>
          <w:rFonts w:hint="eastAsia" w:ascii="Times New Roman" w:hAnsi="Times New Roman" w:eastAsia="仿宋_GB2312" w:cs="仿宋_GB2312"/>
          <w:color w:val="auto"/>
          <w:kern w:val="2"/>
          <w:sz w:val="32"/>
          <w:szCs w:val="32"/>
          <w:highlight w:val="none"/>
          <w:lang w:val="zh-CN" w:eastAsia="zh-CN" w:bidi="ar-SA"/>
        </w:rPr>
        <w:t>）坚持党的领导这一根本保证，推动干警政治忠诚更加坚定。一是在思想上固本培元。完善巩固拓展主题教育成果长效机制，分层分类办好政治轮训，用好“政法干警同上一堂课”，开发“四渡赤水”红色法治文化专题党课，引领干警学深悟透习近平法治思想、总体国家安全观和总书记对四川工作、政法工作的重要指示精神等，进一步统一全市干警思想和行动，筑牢政治忠诚。二是在管理上抓实抓细。更好发挥市委政法委统筹协调作用，健全要情报送、督办落实等工作机制，召开7次全委会谋大事、抓大事。探索建立政法单位定期报送政法主要数据机制，对执法司法态势的动态监管能力不断提升。三是在纪律上从严从实。扎实开展党纪学习教育，更好发挥政法系统党风廉政建设联席会议机制作用，推进管党治警工作清单化、监督任务具体化，对3家政法机关开展政治督察，引领干警筑牢内心防线。深入推进群众身边不正之风和腐败问题集中整治，创新将“12337”举报涉及案件纳入执法监督专项案件评查。</w:t>
      </w:r>
    </w:p>
    <w:p w14:paraId="0A8B26F8">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zh-CN" w:eastAsia="zh-CN" w:bidi="ar-SA"/>
        </w:rPr>
        <w:t>（</w:t>
      </w:r>
      <w:r>
        <w:rPr>
          <w:rFonts w:hint="eastAsia" w:ascii="Times New Roman" w:hAnsi="Times New Roman" w:eastAsia="仿宋_GB2312" w:cs="仿宋_GB2312"/>
          <w:color w:val="auto"/>
          <w:kern w:val="2"/>
          <w:sz w:val="32"/>
          <w:szCs w:val="32"/>
          <w:highlight w:val="none"/>
          <w:lang w:val="en-US" w:eastAsia="zh-CN" w:bidi="ar-SA"/>
        </w:rPr>
        <w:t>2</w:t>
      </w:r>
      <w:r>
        <w:rPr>
          <w:rFonts w:hint="eastAsia" w:ascii="Times New Roman" w:hAnsi="Times New Roman" w:eastAsia="仿宋_GB2312" w:cs="仿宋_GB2312"/>
          <w:color w:val="auto"/>
          <w:kern w:val="2"/>
          <w:sz w:val="32"/>
          <w:szCs w:val="32"/>
          <w:highlight w:val="none"/>
          <w:lang w:val="zh-CN" w:eastAsia="zh-CN" w:bidi="ar-SA"/>
        </w:rPr>
        <w:t>）聚焦高质量发展这一首要任务，推动法治保障作用更加凸显。一是配合打好经济调控“组合拳”。围绕抓项目、稳投资，完善重大项目法治服务和群众工作“双专班”机制。围绕服务重点产业发展，开展重点产业全链法治护航行动，完善知识产权保护体系。二是跑出法治服务“加速度”。深入实施“营造法治化营商环境提升年”六大行动，创新优化法治服务。开展涉企案件督办，深入整治压案不查等突出问题。创新开展政法领导“带案进企、送法护企”活动。三是培育优化环境“新引擎”。深入实施酒城法治能级提升行动，产法协同示范区初见成效，两次省级现场会议先后到示范区实地考察。拓展泸永江政法系统“总对总”合作，签订营商环境执法司法联盟框架协议，以执法司法一体化助推区域发展协同化。</w:t>
      </w:r>
      <w:r>
        <w:rPr>
          <w:rFonts w:hint="eastAsia" w:ascii="Times New Roman" w:hAnsi="Times New Roman" w:eastAsia="仿宋_GB2312" w:cs="仿宋_GB2312"/>
          <w:color w:val="auto"/>
          <w:kern w:val="2"/>
          <w:sz w:val="32"/>
          <w:szCs w:val="32"/>
          <w:highlight w:val="none"/>
          <w:lang w:val="en-US" w:eastAsia="zh-CN" w:bidi="ar-SA"/>
        </w:rPr>
        <w:t xml:space="preserve">  </w:t>
      </w:r>
    </w:p>
    <w:p w14:paraId="70EC32EA">
      <w:pPr>
        <w:spacing w:line="600" w:lineRule="exact"/>
        <w:ind w:firstLine="640"/>
        <w:rPr>
          <w:rFonts w:hint="eastAsia" w:ascii="Times New Roman" w:hAnsi="Times New Roman" w:eastAsia="仿宋_GB2312" w:cs="仿宋_GB2312"/>
          <w:color w:val="auto"/>
          <w:kern w:val="2"/>
          <w:sz w:val="32"/>
          <w:szCs w:val="32"/>
          <w:highlight w:val="none"/>
          <w:lang w:val="zh-CN" w:eastAsia="zh-CN" w:bidi="ar-SA"/>
        </w:rPr>
      </w:pPr>
      <w:r>
        <w:rPr>
          <w:rFonts w:hint="eastAsia" w:ascii="Times New Roman" w:hAnsi="Times New Roman" w:eastAsia="仿宋_GB2312" w:cs="仿宋_GB2312"/>
          <w:color w:val="auto"/>
          <w:kern w:val="2"/>
          <w:sz w:val="32"/>
          <w:szCs w:val="32"/>
          <w:highlight w:val="none"/>
          <w:lang w:val="zh-CN" w:eastAsia="zh-CN" w:bidi="ar-SA"/>
        </w:rPr>
        <w:t>（</w:t>
      </w:r>
      <w:r>
        <w:rPr>
          <w:rFonts w:hint="eastAsia" w:ascii="Times New Roman" w:hAnsi="Times New Roman" w:eastAsia="仿宋_GB2312" w:cs="仿宋_GB2312"/>
          <w:color w:val="auto"/>
          <w:kern w:val="2"/>
          <w:sz w:val="32"/>
          <w:szCs w:val="32"/>
          <w:highlight w:val="none"/>
          <w:lang w:val="en-US" w:eastAsia="zh-CN" w:bidi="ar-SA"/>
        </w:rPr>
        <w:t>3</w:t>
      </w:r>
      <w:r>
        <w:rPr>
          <w:rFonts w:hint="eastAsia" w:ascii="Times New Roman" w:hAnsi="Times New Roman" w:eastAsia="仿宋_GB2312" w:cs="仿宋_GB2312"/>
          <w:color w:val="auto"/>
          <w:kern w:val="2"/>
          <w:sz w:val="32"/>
          <w:szCs w:val="32"/>
          <w:highlight w:val="none"/>
          <w:lang w:val="zh-CN" w:eastAsia="zh-CN" w:bidi="ar-SA"/>
        </w:rPr>
        <w:t>）紧扣化解矛盾风险这一工作主线，推动主动创稳局面更加生动。一是打好重大风险化解“攻坚战”。深入贯彻维护社会稳定责任制规定，把“重大风险终结在市域的能力”不断提升。严密部署推进“化解矛盾风险 维护社会稳定”专项治理，最大限度防范极端案件发生。二是织密社会治安“防控网”。保持扫黑除恶力度不减，持续深化命案防控三年攻坚行动，打防一体推进打击整治侵害未成年人违法犯罪专项行动，持续打好禁毒人民战争，进一步降发案、护平安。三是筑牢基层平安“奠基石”。完成平安泸州专项规划编制，系统推进平安建设，推动6个区县、77%的镇街建成“一站式”解纷平台。按照有用实用管用原则，建成“一站式”解纷信息系统，赋能基层高效化解纠纷。以承办全省现场会为新起点，深化“一站式”解纷泸州实践，实现全市信访总量、法院受理案件、行政诉讼案件、重复警情和“民转刑”案件“五个下降”。推动我市网格化服务管理条例顺利出台并全面实施，完成全市“微网实格”治理体系划分，参与网格治理人数实现成倍增长。</w:t>
      </w:r>
    </w:p>
    <w:p w14:paraId="05302E15">
      <w:pPr>
        <w:spacing w:line="600" w:lineRule="exact"/>
        <w:ind w:firstLine="640"/>
        <w:rPr>
          <w:rFonts w:hint="eastAsia" w:ascii="Times New Roman" w:hAnsi="Times New Roman" w:eastAsia="仿宋_GB2312" w:cs="仿宋_GB2312"/>
          <w:color w:val="auto"/>
          <w:kern w:val="2"/>
          <w:sz w:val="32"/>
          <w:szCs w:val="32"/>
          <w:highlight w:val="none"/>
          <w:lang w:val="zh-CN" w:eastAsia="zh-CN" w:bidi="ar-SA"/>
        </w:rPr>
      </w:pPr>
      <w:r>
        <w:rPr>
          <w:rFonts w:hint="eastAsia" w:ascii="Times New Roman" w:hAnsi="Times New Roman" w:eastAsia="仿宋_GB2312" w:cs="仿宋_GB2312"/>
          <w:color w:val="auto"/>
          <w:kern w:val="2"/>
          <w:sz w:val="32"/>
          <w:szCs w:val="32"/>
          <w:highlight w:val="none"/>
          <w:lang w:val="zh-CN" w:eastAsia="zh-CN" w:bidi="ar-SA"/>
        </w:rPr>
        <w:t>（</w:t>
      </w:r>
      <w:r>
        <w:rPr>
          <w:rFonts w:hint="eastAsia" w:ascii="Times New Roman" w:hAnsi="Times New Roman" w:eastAsia="仿宋_GB2312" w:cs="仿宋_GB2312"/>
          <w:color w:val="auto"/>
          <w:kern w:val="2"/>
          <w:sz w:val="32"/>
          <w:szCs w:val="32"/>
          <w:highlight w:val="none"/>
          <w:lang w:val="en-US" w:eastAsia="zh-CN" w:bidi="ar-SA"/>
        </w:rPr>
        <w:t>4</w:t>
      </w:r>
      <w:r>
        <w:rPr>
          <w:rFonts w:hint="eastAsia" w:ascii="Times New Roman" w:hAnsi="Times New Roman" w:eastAsia="仿宋_GB2312" w:cs="仿宋_GB2312"/>
          <w:color w:val="auto"/>
          <w:kern w:val="2"/>
          <w:sz w:val="32"/>
          <w:szCs w:val="32"/>
          <w:highlight w:val="none"/>
          <w:lang w:val="zh-CN" w:eastAsia="zh-CN" w:bidi="ar-SA"/>
        </w:rPr>
        <w:t>）践行政法为民这一价值追求，推动法治泸州底蕴更加深厚。一是凝聚法治合力。加强与立法机关协作，协同推进地方性法规“四入”工作走深走实，举办首届地方性法规知识竞赛。聚力完善府院、府检联席会议机制，实现市县两级行政争议调解中心全覆盖。层层落实领导干部应知应会党内法规和国家法律清单制度，更好发挥“关键少数”示范引领作用。二是促进公平正义。持续深化政法领域改革，泸州乡村“AI交警”成为全国公安新质战斗力的工作典型，我市12项政法改革经验在全省交流推广。扎实开展执法司法突出问题专项检查暨案件评查，倒逼政法单位全面准确落实司法责任制。支持政法单位项目化推进办案质效提高，法院开展“司法为民再深化”行动，检察系统完成首轮“三化”建设，公安机关完善“专业+机制+大数据”新型警务运行模式，司法行政机关开展提升行政执法质量三年行动，全市执法司法规范化水平进一步提升。三是建设法治社会。持续完善公共法律服务体系建设，公共法律服务、法律援助获评全国先进。深入推进“八五”普法工作，“泸小法”、纳爱·纽扣课堂教育基地分别入选首届“四川十大经典法治IP”、“四川十大特色法治阵地”。督促政法机关扎实推进信访工作法治化。</w:t>
      </w:r>
    </w:p>
    <w:p w14:paraId="7332A8A0">
      <w:pPr>
        <w:spacing w:line="600" w:lineRule="exact"/>
        <w:ind w:firstLine="640"/>
        <w:rPr>
          <w:rFonts w:hint="eastAsia" w:ascii="Times New Roman" w:hAnsi="Times New Roman" w:eastAsia="仿宋_GB2312" w:cs="仿宋_GB2312"/>
          <w:color w:val="auto"/>
          <w:kern w:val="2"/>
          <w:sz w:val="32"/>
          <w:szCs w:val="32"/>
          <w:highlight w:val="none"/>
          <w:lang w:val="zh-CN" w:eastAsia="zh-CN" w:bidi="ar-SA"/>
        </w:rPr>
      </w:pPr>
      <w:r>
        <w:rPr>
          <w:rFonts w:hint="eastAsia" w:ascii="Times New Roman" w:hAnsi="Times New Roman" w:eastAsia="仿宋_GB2312" w:cs="仿宋_GB2312"/>
          <w:color w:val="auto"/>
          <w:kern w:val="2"/>
          <w:sz w:val="32"/>
          <w:szCs w:val="32"/>
          <w:highlight w:val="none"/>
          <w:lang w:val="en-US" w:eastAsia="zh-CN" w:bidi="ar-SA"/>
        </w:rPr>
        <w:t>2.</w:t>
      </w:r>
      <w:r>
        <w:rPr>
          <w:rFonts w:hint="default" w:ascii="Times New Roman" w:hAnsi="Times New Roman" w:eastAsia="仿宋_GB2312" w:cs="仿宋_GB2312"/>
          <w:color w:val="auto"/>
          <w:kern w:val="2"/>
          <w:sz w:val="32"/>
          <w:szCs w:val="32"/>
          <w:highlight w:val="none"/>
          <w:lang w:val="zh-CN" w:eastAsia="zh-CN" w:bidi="ar-SA"/>
        </w:rPr>
        <w:t>预算管理</w:t>
      </w:r>
      <w:r>
        <w:rPr>
          <w:rFonts w:hint="eastAsia" w:ascii="Times New Roman" w:hAnsi="Times New Roman" w:eastAsia="仿宋_GB2312" w:cs="仿宋_GB2312"/>
          <w:color w:val="auto"/>
          <w:kern w:val="2"/>
          <w:sz w:val="32"/>
          <w:szCs w:val="32"/>
          <w:highlight w:val="none"/>
          <w:lang w:val="zh-CN" w:eastAsia="zh-CN" w:bidi="ar-SA"/>
        </w:rPr>
        <w:t>。</w:t>
      </w:r>
    </w:p>
    <w:p w14:paraId="5C3E7D13">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我委预算编制工作按照市财政要求采用零基预算法，按照项目轻重缓急排序。引入第三方专家评审，重点审核项目的必要性、经济性测算。</w:t>
      </w:r>
    </w:p>
    <w:p w14:paraId="27CF7540">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支出执行进度，实施“三色预警”动态监控。建立了用款计划提前申报制度。</w:t>
      </w:r>
    </w:p>
    <w:p w14:paraId="53321C0F">
      <w:pPr>
        <w:spacing w:line="600" w:lineRule="exact"/>
        <w:ind w:firstLine="640"/>
        <w:rPr>
          <w:rFonts w:hint="eastAsia" w:ascii="Times New Roman" w:hAnsi="Times New Roman" w:eastAsia="仿宋_GB2312" w:cs="仿宋_GB2312"/>
          <w:color w:val="auto"/>
          <w:kern w:val="2"/>
          <w:sz w:val="32"/>
          <w:szCs w:val="32"/>
          <w:highlight w:val="none"/>
          <w:lang w:val="zh-CN" w:eastAsia="zh-CN" w:bidi="ar-SA"/>
        </w:rPr>
      </w:pPr>
      <w:r>
        <w:rPr>
          <w:rFonts w:hint="eastAsia" w:ascii="Times New Roman" w:hAnsi="Times New Roman" w:eastAsia="仿宋_GB2312" w:cs="仿宋_GB2312"/>
          <w:color w:val="auto"/>
          <w:kern w:val="2"/>
          <w:sz w:val="32"/>
          <w:szCs w:val="32"/>
          <w:highlight w:val="none"/>
          <w:lang w:val="en-US" w:eastAsia="zh-CN" w:bidi="ar-SA"/>
        </w:rPr>
        <w:t>一般性支出进行严格控制，“三公经费”按照标准进行压减、各项支付对比同行业最低价、各项费用报销严格按照相关规定执行。</w:t>
      </w:r>
    </w:p>
    <w:p w14:paraId="467CAC91">
      <w:pPr>
        <w:spacing w:line="600" w:lineRule="exact"/>
        <w:ind w:firstLine="640"/>
        <w:rPr>
          <w:rFonts w:hint="eastAsia" w:ascii="Times New Roman" w:hAnsi="Times New Roman" w:eastAsia="仿宋_GB2312" w:cs="仿宋_GB2312"/>
          <w:color w:val="auto"/>
          <w:kern w:val="2"/>
          <w:sz w:val="32"/>
          <w:szCs w:val="32"/>
          <w:highlight w:val="none"/>
          <w:lang w:val="zh-CN" w:eastAsia="zh-CN" w:bidi="ar-SA"/>
        </w:rPr>
      </w:pPr>
      <w:r>
        <w:rPr>
          <w:rFonts w:hint="eastAsia" w:ascii="Times New Roman" w:hAnsi="Times New Roman" w:eastAsia="仿宋_GB2312" w:cs="仿宋_GB2312"/>
          <w:color w:val="auto"/>
          <w:kern w:val="2"/>
          <w:sz w:val="32"/>
          <w:szCs w:val="32"/>
          <w:highlight w:val="none"/>
          <w:lang w:val="en-US" w:eastAsia="zh-CN" w:bidi="ar-SA"/>
        </w:rPr>
        <w:t>3.</w:t>
      </w:r>
      <w:r>
        <w:rPr>
          <w:rFonts w:hint="default" w:ascii="Times New Roman" w:hAnsi="Times New Roman" w:eastAsia="仿宋_GB2312" w:cs="仿宋_GB2312"/>
          <w:color w:val="auto"/>
          <w:kern w:val="2"/>
          <w:sz w:val="32"/>
          <w:szCs w:val="32"/>
          <w:highlight w:val="none"/>
          <w:lang w:val="zh-CN" w:eastAsia="zh-CN" w:bidi="ar-SA"/>
        </w:rPr>
        <w:t>财务管理</w:t>
      </w:r>
      <w:r>
        <w:rPr>
          <w:rFonts w:hint="eastAsia" w:ascii="Times New Roman" w:hAnsi="Times New Roman" w:eastAsia="仿宋_GB2312" w:cs="仿宋_GB2312"/>
          <w:color w:val="auto"/>
          <w:kern w:val="2"/>
          <w:sz w:val="32"/>
          <w:szCs w:val="32"/>
          <w:highlight w:val="none"/>
          <w:lang w:val="zh-CN" w:eastAsia="zh-CN" w:bidi="ar-SA"/>
        </w:rPr>
        <w:t>。</w:t>
      </w:r>
    </w:p>
    <w:p w14:paraId="0615746D">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我委现有财务管理制度比较健全，涵盖了预算管理、收支管理、政府采购、资产管理、内部控制等，但还需要不断完善，每2年根据新文件、新规定，或者根据巡察发现的财务问题中，因制度缺失导致的问题，进行更新。制定《财务管理办法》，明确各类业务的审批流程和表单模板。</w:t>
      </w:r>
    </w:p>
    <w:p w14:paraId="117AC5C3">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我委财务岗位设置会计、出纳、财务负责人。会计与出纳、审批与执行、采购与验收等岗位由不同人员担任。无“一人多岗”的情况发生。设置了“AB岗”制度，确保关键岗位不空缺，同时避免权力集中。财务人员100%持有会计从业资格证。</w:t>
      </w:r>
    </w:p>
    <w:p w14:paraId="7FC95CCB">
      <w:pPr>
        <w:spacing w:line="600" w:lineRule="exact"/>
        <w:ind w:firstLine="640"/>
        <w:rPr>
          <w:rFonts w:hint="eastAsia" w:ascii="Times New Roman" w:hAnsi="Times New Roman" w:eastAsia="仿宋_GB2312" w:cs="仿宋_GB2312"/>
          <w:color w:val="auto"/>
          <w:kern w:val="2"/>
          <w:sz w:val="32"/>
          <w:szCs w:val="32"/>
          <w:highlight w:val="none"/>
          <w:lang w:val="zh-CN" w:eastAsia="zh-CN" w:bidi="ar-SA"/>
        </w:rPr>
      </w:pPr>
      <w:r>
        <w:rPr>
          <w:rFonts w:hint="eastAsia" w:ascii="Times New Roman" w:hAnsi="Times New Roman" w:eastAsia="仿宋_GB2312" w:cs="仿宋_GB2312"/>
          <w:color w:val="auto"/>
          <w:kern w:val="2"/>
          <w:sz w:val="32"/>
          <w:szCs w:val="32"/>
          <w:highlight w:val="none"/>
          <w:lang w:val="en-US" w:eastAsia="zh-CN" w:bidi="ar-SA"/>
        </w:rPr>
        <w:t>资金使用合规，审批程序严格执行“先预算后支出”，无超预算现象发生。根据管理严格，有问题的票据及时分辨并及时处理。公务支出全面推行公务卡制度，无现金支付。项目资金按进度拨付，并与绩效目标挂钩，根据预警及时纠偏，调整项目执行进度。</w:t>
      </w:r>
    </w:p>
    <w:p w14:paraId="0E7DCBBA">
      <w:pPr>
        <w:spacing w:line="600" w:lineRule="exact"/>
        <w:ind w:firstLine="640"/>
        <w:rPr>
          <w:rFonts w:hint="eastAsia" w:ascii="Times New Roman" w:hAnsi="Times New Roman" w:eastAsia="仿宋_GB2312" w:cs="仿宋_GB2312"/>
          <w:color w:val="auto"/>
          <w:kern w:val="2"/>
          <w:sz w:val="32"/>
          <w:szCs w:val="32"/>
          <w:highlight w:val="none"/>
          <w:lang w:val="zh-CN" w:eastAsia="zh-CN" w:bidi="ar-SA"/>
        </w:rPr>
      </w:pPr>
      <w:r>
        <w:rPr>
          <w:rFonts w:hint="eastAsia" w:ascii="Times New Roman" w:hAnsi="Times New Roman" w:eastAsia="仿宋_GB2312" w:cs="仿宋_GB2312"/>
          <w:color w:val="auto"/>
          <w:kern w:val="2"/>
          <w:sz w:val="32"/>
          <w:szCs w:val="32"/>
          <w:highlight w:val="none"/>
          <w:lang w:val="en-US" w:eastAsia="zh-CN" w:bidi="ar-SA"/>
        </w:rPr>
        <w:t>4.</w:t>
      </w:r>
      <w:r>
        <w:rPr>
          <w:rFonts w:hint="default" w:ascii="Times New Roman" w:hAnsi="Times New Roman" w:eastAsia="仿宋_GB2312" w:cs="仿宋_GB2312"/>
          <w:color w:val="auto"/>
          <w:kern w:val="2"/>
          <w:sz w:val="32"/>
          <w:szCs w:val="32"/>
          <w:highlight w:val="none"/>
          <w:lang w:val="zh-CN" w:eastAsia="zh-CN" w:bidi="ar-SA"/>
        </w:rPr>
        <w:t>资产管理</w:t>
      </w:r>
      <w:r>
        <w:rPr>
          <w:rFonts w:hint="eastAsia" w:ascii="Times New Roman" w:hAnsi="Times New Roman" w:eastAsia="仿宋_GB2312" w:cs="仿宋_GB2312"/>
          <w:color w:val="auto"/>
          <w:kern w:val="2"/>
          <w:sz w:val="32"/>
          <w:szCs w:val="32"/>
          <w:highlight w:val="none"/>
          <w:lang w:val="zh-CN" w:eastAsia="zh-CN" w:bidi="ar-SA"/>
        </w:rPr>
        <w:t>。</w:t>
      </w:r>
    </w:p>
    <w:p w14:paraId="7362540D">
      <w:pPr>
        <w:spacing w:line="600" w:lineRule="exact"/>
        <w:ind w:firstLine="640"/>
        <w:rPr>
          <w:rFonts w:hint="eastAsia" w:ascii="Times New Roman" w:hAnsi="Times New Roman" w:eastAsia="仿宋_GB2312" w:cs="仿宋_GB2312"/>
          <w:color w:val="auto"/>
          <w:kern w:val="2"/>
          <w:sz w:val="32"/>
          <w:szCs w:val="32"/>
          <w:highlight w:val="none"/>
          <w:lang w:val="zh-CN" w:eastAsia="zh-CN" w:bidi="ar-SA"/>
        </w:rPr>
      </w:pPr>
      <w:r>
        <w:rPr>
          <w:rFonts w:hint="eastAsia" w:ascii="Times New Roman" w:hAnsi="Times New Roman" w:eastAsia="仿宋_GB2312" w:cs="仿宋_GB2312"/>
          <w:color w:val="auto"/>
          <w:kern w:val="2"/>
          <w:sz w:val="32"/>
          <w:szCs w:val="32"/>
          <w:highlight w:val="none"/>
          <w:lang w:val="en-US" w:eastAsia="zh-CN" w:bidi="ar-SA"/>
        </w:rPr>
        <w:t>我委</w:t>
      </w:r>
      <w:r>
        <w:rPr>
          <w:rFonts w:hint="eastAsia" w:ascii="Times New Roman" w:hAnsi="Times New Roman" w:eastAsia="仿宋_GB2312" w:cs="仿宋_GB2312"/>
          <w:color w:val="auto"/>
          <w:kern w:val="2"/>
          <w:sz w:val="32"/>
          <w:szCs w:val="32"/>
          <w:highlight w:val="none"/>
          <w:lang w:val="zh-CN" w:eastAsia="zh-CN" w:bidi="ar-SA"/>
        </w:rPr>
        <w:t>人均资产变化率</w:t>
      </w:r>
      <w:r>
        <w:rPr>
          <w:rFonts w:hint="eastAsia" w:ascii="Times New Roman" w:hAnsi="Times New Roman" w:eastAsia="仿宋_GB2312" w:cs="仿宋_GB2312"/>
          <w:color w:val="auto"/>
          <w:kern w:val="2"/>
          <w:sz w:val="32"/>
          <w:szCs w:val="32"/>
          <w:highlight w:val="none"/>
          <w:lang w:val="en-US" w:eastAsia="zh-CN" w:bidi="ar-SA"/>
        </w:rPr>
        <w:t>为2%，家具、通用设备使用率为100%，无闲置资产，优化资源配置，提高固定资产使用效率，将有使用价值的资产捐赠。到使用年限，不能使用的资产申请了报废。</w:t>
      </w:r>
    </w:p>
    <w:p w14:paraId="7929889D">
      <w:pPr>
        <w:spacing w:line="600" w:lineRule="exact"/>
        <w:ind w:firstLine="640"/>
        <w:rPr>
          <w:rFonts w:hint="eastAsia" w:ascii="Times New Roman" w:hAnsi="Times New Roman" w:eastAsia="仿宋_GB2312" w:cs="仿宋_GB2312"/>
          <w:color w:val="auto"/>
          <w:kern w:val="2"/>
          <w:sz w:val="32"/>
          <w:szCs w:val="32"/>
          <w:highlight w:val="none"/>
          <w:lang w:val="zh-CN" w:eastAsia="zh-CN" w:bidi="ar-SA"/>
        </w:rPr>
      </w:pPr>
      <w:r>
        <w:rPr>
          <w:rFonts w:hint="eastAsia" w:ascii="Times New Roman" w:hAnsi="Times New Roman" w:eastAsia="仿宋_GB2312" w:cs="仿宋_GB2312"/>
          <w:color w:val="auto"/>
          <w:kern w:val="2"/>
          <w:sz w:val="32"/>
          <w:szCs w:val="32"/>
          <w:highlight w:val="none"/>
          <w:lang w:val="en-US" w:eastAsia="zh-CN" w:bidi="ar-SA"/>
        </w:rPr>
        <w:t>5.</w:t>
      </w:r>
      <w:r>
        <w:rPr>
          <w:rFonts w:hint="default" w:ascii="Times New Roman" w:hAnsi="Times New Roman" w:eastAsia="仿宋_GB2312" w:cs="仿宋_GB2312"/>
          <w:color w:val="auto"/>
          <w:kern w:val="2"/>
          <w:sz w:val="32"/>
          <w:szCs w:val="32"/>
          <w:highlight w:val="none"/>
          <w:lang w:val="zh-CN" w:eastAsia="zh-CN" w:bidi="ar-SA"/>
        </w:rPr>
        <w:t>采购管理</w:t>
      </w:r>
      <w:r>
        <w:rPr>
          <w:rFonts w:hint="eastAsia" w:ascii="Times New Roman" w:hAnsi="Times New Roman" w:eastAsia="仿宋_GB2312" w:cs="仿宋_GB2312"/>
          <w:color w:val="auto"/>
          <w:kern w:val="2"/>
          <w:sz w:val="32"/>
          <w:szCs w:val="32"/>
          <w:highlight w:val="none"/>
          <w:lang w:val="zh-CN" w:eastAsia="zh-CN" w:bidi="ar-SA"/>
        </w:rPr>
        <w:t>。</w:t>
      </w:r>
      <w:r>
        <w:rPr>
          <w:rFonts w:hint="eastAsia" w:ascii="Times New Roman" w:hAnsi="Times New Roman" w:eastAsia="仿宋_GB2312" w:cs="仿宋_GB2312"/>
          <w:color w:val="auto"/>
          <w:kern w:val="2"/>
          <w:sz w:val="32"/>
          <w:szCs w:val="32"/>
          <w:highlight w:val="none"/>
          <w:lang w:val="en-US" w:eastAsia="zh-CN" w:bidi="ar-SA"/>
        </w:rPr>
        <w:t>我部门没有支付中心企业发展的项目资金。</w:t>
      </w:r>
    </w:p>
    <w:p w14:paraId="0D4750E4">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3" w:firstLineChars="200"/>
        <w:contextualSpacing/>
        <w:jc w:val="both"/>
        <w:textAlignment w:val="auto"/>
        <w:outlineLvl w:val="9"/>
        <w:rPr>
          <w:rFonts w:hint="default" w:ascii="Times New Roman" w:hAnsi="Times New Roman" w:eastAsia="仿宋_GB2312" w:cs="仿宋_GB2312"/>
          <w:color w:val="auto"/>
          <w:kern w:val="2"/>
          <w:sz w:val="32"/>
          <w:szCs w:val="32"/>
          <w:highlight w:val="none"/>
          <w:lang w:val="en-US" w:eastAsia="zh-CN" w:bidi="ar-SA"/>
        </w:rPr>
      </w:pPr>
      <w:r>
        <w:rPr>
          <w:rFonts w:hint="default" w:ascii="Times New Roman" w:hAnsi="Times New Roman" w:eastAsia="楷体_GB2312" w:cs="Times New Roman"/>
          <w:b/>
          <w:bCs/>
          <w:color w:val="000000"/>
          <w:kern w:val="0"/>
          <w:sz w:val="32"/>
          <w:szCs w:val="32"/>
          <w:highlight w:val="none"/>
          <w:shd w:val="clear" w:color="auto" w:fill="FFFFFF"/>
          <w:lang w:val="zh-CN"/>
        </w:rPr>
        <w:t>（二）部门预算项目绩效分析。</w:t>
      </w:r>
    </w:p>
    <w:p w14:paraId="457D34B0">
      <w:pPr>
        <w:spacing w:line="600" w:lineRule="exact"/>
        <w:ind w:firstLine="640"/>
        <w:rPr>
          <w:rFonts w:hint="eastAsia" w:ascii="Times New Roman" w:hAnsi="Times New Roman" w:eastAsia="仿宋_GB2312" w:cs="仿宋_GB2312"/>
          <w:color w:val="auto"/>
          <w:kern w:val="2"/>
          <w:sz w:val="32"/>
          <w:szCs w:val="32"/>
          <w:highlight w:val="none"/>
          <w:lang w:val="zh-CN" w:eastAsia="zh-CN" w:bidi="ar-SA"/>
        </w:rPr>
      </w:pPr>
      <w:r>
        <w:rPr>
          <w:rFonts w:hint="eastAsia" w:ascii="Times New Roman" w:hAnsi="Times New Roman" w:eastAsia="仿宋_GB2312" w:cs="仿宋_GB2312"/>
          <w:color w:val="auto"/>
          <w:kern w:val="2"/>
          <w:sz w:val="32"/>
          <w:szCs w:val="32"/>
          <w:highlight w:val="none"/>
          <w:lang w:val="en-US" w:eastAsia="zh-CN" w:bidi="ar-SA"/>
        </w:rPr>
        <w:t>常年项目绩效分析。</w:t>
      </w:r>
      <w:r>
        <w:rPr>
          <w:rFonts w:hint="eastAsia" w:ascii="Times New Roman" w:hAnsi="Times New Roman" w:eastAsia="仿宋_GB2312" w:cs="仿宋_GB2312"/>
          <w:color w:val="auto"/>
          <w:kern w:val="2"/>
          <w:sz w:val="32"/>
          <w:szCs w:val="32"/>
          <w:highlight w:val="none"/>
          <w:lang w:val="zh-CN" w:eastAsia="zh-CN" w:bidi="ar-SA"/>
        </w:rPr>
        <w:t>该类项目总数</w:t>
      </w:r>
      <w:r>
        <w:rPr>
          <w:rFonts w:hint="eastAsia" w:ascii="Times New Roman" w:hAnsi="Times New Roman" w:eastAsia="仿宋_GB2312" w:cs="仿宋_GB2312"/>
          <w:color w:val="auto"/>
          <w:kern w:val="2"/>
          <w:sz w:val="32"/>
          <w:szCs w:val="32"/>
          <w:highlight w:val="none"/>
          <w:lang w:val="en-US" w:eastAsia="zh-CN" w:bidi="ar-SA"/>
        </w:rPr>
        <w:t>5</w:t>
      </w:r>
      <w:r>
        <w:rPr>
          <w:rFonts w:hint="eastAsia" w:ascii="Times New Roman" w:hAnsi="Times New Roman" w:eastAsia="仿宋_GB2312" w:cs="仿宋_GB2312"/>
          <w:color w:val="auto"/>
          <w:kern w:val="2"/>
          <w:sz w:val="32"/>
          <w:szCs w:val="32"/>
          <w:highlight w:val="none"/>
          <w:lang w:val="zh-CN" w:eastAsia="zh-CN" w:bidi="ar-SA"/>
        </w:rPr>
        <w:t>个，涉及预算总金额</w:t>
      </w:r>
      <w:r>
        <w:rPr>
          <w:rFonts w:hint="eastAsia" w:ascii="Times New Roman" w:hAnsi="Times New Roman" w:eastAsia="仿宋_GB2312" w:cs="仿宋_GB2312"/>
          <w:color w:val="auto"/>
          <w:kern w:val="2"/>
          <w:sz w:val="32"/>
          <w:szCs w:val="32"/>
          <w:highlight w:val="none"/>
          <w:lang w:val="en-US" w:eastAsia="zh-CN" w:bidi="ar-SA"/>
        </w:rPr>
        <w:t>582.43</w:t>
      </w:r>
      <w:r>
        <w:rPr>
          <w:rFonts w:hint="eastAsia" w:ascii="Times New Roman" w:hAnsi="Times New Roman" w:eastAsia="仿宋_GB2312" w:cs="仿宋_GB2312"/>
          <w:color w:val="auto"/>
          <w:kern w:val="2"/>
          <w:sz w:val="32"/>
          <w:szCs w:val="32"/>
          <w:highlight w:val="none"/>
          <w:lang w:val="zh-CN" w:eastAsia="zh-CN" w:bidi="ar-SA"/>
        </w:rPr>
        <w:t>万元，1—1</w:t>
      </w:r>
      <w:r>
        <w:rPr>
          <w:rFonts w:hint="eastAsia" w:ascii="Times New Roman" w:hAnsi="Times New Roman" w:eastAsia="仿宋_GB2312" w:cs="仿宋_GB2312"/>
          <w:color w:val="auto"/>
          <w:kern w:val="2"/>
          <w:sz w:val="32"/>
          <w:szCs w:val="32"/>
          <w:highlight w:val="none"/>
          <w:lang w:val="en-US" w:eastAsia="zh-CN" w:bidi="ar-SA"/>
        </w:rPr>
        <w:t>2</w:t>
      </w:r>
      <w:r>
        <w:rPr>
          <w:rFonts w:hint="eastAsia" w:ascii="Times New Roman" w:hAnsi="Times New Roman" w:eastAsia="仿宋_GB2312" w:cs="仿宋_GB2312"/>
          <w:color w:val="auto"/>
          <w:kern w:val="2"/>
          <w:sz w:val="32"/>
          <w:szCs w:val="32"/>
          <w:highlight w:val="none"/>
          <w:lang w:val="zh-CN" w:eastAsia="zh-CN" w:bidi="ar-SA"/>
        </w:rPr>
        <w:t>月预算执行总体进度为</w:t>
      </w:r>
      <w:r>
        <w:rPr>
          <w:rFonts w:hint="eastAsia" w:ascii="Times New Roman" w:hAnsi="Times New Roman" w:eastAsia="仿宋_GB2312" w:cs="仿宋_GB2312"/>
          <w:color w:val="auto"/>
          <w:kern w:val="2"/>
          <w:sz w:val="32"/>
          <w:szCs w:val="32"/>
          <w:highlight w:val="none"/>
          <w:lang w:val="en-US" w:eastAsia="zh-CN" w:bidi="ar-SA"/>
        </w:rPr>
        <w:t>98.37</w:t>
      </w:r>
      <w:r>
        <w:rPr>
          <w:rFonts w:hint="eastAsia" w:ascii="Times New Roman" w:hAnsi="Times New Roman" w:eastAsia="仿宋_GB2312" w:cs="仿宋_GB2312"/>
          <w:color w:val="auto"/>
          <w:kern w:val="2"/>
          <w:sz w:val="32"/>
          <w:szCs w:val="32"/>
          <w:highlight w:val="none"/>
          <w:lang w:val="zh-CN" w:eastAsia="zh-CN" w:bidi="ar-SA"/>
        </w:rPr>
        <w:t>%，其中：预算结余率大于</w:t>
      </w:r>
      <w:r>
        <w:rPr>
          <w:rFonts w:hint="eastAsia" w:ascii="Times New Roman" w:hAnsi="Times New Roman" w:eastAsia="仿宋_GB2312" w:cs="仿宋_GB2312"/>
          <w:color w:val="auto"/>
          <w:kern w:val="2"/>
          <w:sz w:val="32"/>
          <w:szCs w:val="32"/>
          <w:highlight w:val="none"/>
          <w:lang w:val="en-US" w:eastAsia="zh-CN" w:bidi="ar-SA"/>
        </w:rPr>
        <w:t>10%</w:t>
      </w:r>
      <w:r>
        <w:rPr>
          <w:rFonts w:hint="eastAsia" w:ascii="Times New Roman" w:hAnsi="Times New Roman" w:eastAsia="仿宋_GB2312" w:cs="仿宋_GB2312"/>
          <w:color w:val="auto"/>
          <w:kern w:val="2"/>
          <w:sz w:val="32"/>
          <w:szCs w:val="32"/>
          <w:highlight w:val="none"/>
          <w:lang w:val="zh-CN" w:eastAsia="zh-CN" w:bidi="ar-SA"/>
        </w:rPr>
        <w:t>的项目共计</w:t>
      </w:r>
      <w:r>
        <w:rPr>
          <w:rFonts w:hint="eastAsia" w:ascii="Times New Roman" w:hAnsi="Times New Roman" w:eastAsia="仿宋_GB2312" w:cs="仿宋_GB2312"/>
          <w:color w:val="auto"/>
          <w:kern w:val="2"/>
          <w:sz w:val="32"/>
          <w:szCs w:val="32"/>
          <w:highlight w:val="none"/>
          <w:lang w:val="en-US" w:eastAsia="zh-CN" w:bidi="ar-SA"/>
        </w:rPr>
        <w:t>0</w:t>
      </w:r>
      <w:r>
        <w:rPr>
          <w:rFonts w:hint="eastAsia" w:ascii="Times New Roman" w:hAnsi="Times New Roman" w:eastAsia="仿宋_GB2312" w:cs="仿宋_GB2312"/>
          <w:color w:val="auto"/>
          <w:kern w:val="2"/>
          <w:sz w:val="32"/>
          <w:szCs w:val="32"/>
          <w:highlight w:val="none"/>
          <w:lang w:val="zh-CN" w:eastAsia="zh-CN" w:bidi="ar-SA"/>
        </w:rPr>
        <w:t>个。</w:t>
      </w:r>
    </w:p>
    <w:p w14:paraId="50993153">
      <w:pPr>
        <w:spacing w:line="600" w:lineRule="exact"/>
        <w:ind w:firstLine="640"/>
        <w:rPr>
          <w:rFonts w:hint="eastAsia" w:ascii="Times New Roman" w:hAnsi="Times New Roman" w:eastAsia="仿宋_GB2312" w:cs="仿宋_GB2312"/>
          <w:color w:val="auto"/>
          <w:kern w:val="2"/>
          <w:sz w:val="32"/>
          <w:szCs w:val="32"/>
          <w:highlight w:val="none"/>
          <w:lang w:val="zh-CN" w:eastAsia="zh-CN" w:bidi="ar-SA"/>
        </w:rPr>
      </w:pPr>
      <w:r>
        <w:rPr>
          <w:rFonts w:hint="eastAsia" w:ascii="Times New Roman" w:hAnsi="Times New Roman" w:eastAsia="仿宋_GB2312" w:cs="仿宋_GB2312"/>
          <w:color w:val="auto"/>
          <w:kern w:val="2"/>
          <w:sz w:val="32"/>
          <w:szCs w:val="32"/>
          <w:highlight w:val="none"/>
          <w:lang w:val="en-US" w:eastAsia="zh-CN" w:bidi="ar-SA"/>
        </w:rPr>
        <w:t>阶段（含一次性）项目绩效分析。</w:t>
      </w:r>
      <w:r>
        <w:rPr>
          <w:rFonts w:hint="eastAsia" w:ascii="Times New Roman" w:hAnsi="Times New Roman" w:eastAsia="仿宋_GB2312" w:cs="仿宋_GB2312"/>
          <w:color w:val="auto"/>
          <w:kern w:val="2"/>
          <w:sz w:val="32"/>
          <w:szCs w:val="32"/>
          <w:highlight w:val="none"/>
          <w:lang w:val="zh-CN" w:eastAsia="zh-CN" w:bidi="ar-SA"/>
        </w:rPr>
        <w:t>该类项目总数</w:t>
      </w:r>
      <w:r>
        <w:rPr>
          <w:rFonts w:hint="eastAsia" w:ascii="Times New Roman" w:hAnsi="Times New Roman" w:eastAsia="仿宋_GB2312" w:cs="仿宋_GB2312"/>
          <w:color w:val="auto"/>
          <w:kern w:val="2"/>
          <w:sz w:val="32"/>
          <w:szCs w:val="32"/>
          <w:highlight w:val="none"/>
          <w:lang w:val="en-US" w:eastAsia="zh-CN" w:bidi="ar-SA"/>
        </w:rPr>
        <w:t>2</w:t>
      </w:r>
      <w:r>
        <w:rPr>
          <w:rFonts w:hint="eastAsia" w:ascii="Times New Roman" w:hAnsi="Times New Roman" w:eastAsia="仿宋_GB2312" w:cs="仿宋_GB2312"/>
          <w:color w:val="auto"/>
          <w:kern w:val="2"/>
          <w:sz w:val="32"/>
          <w:szCs w:val="32"/>
          <w:highlight w:val="none"/>
          <w:lang w:val="zh-CN" w:eastAsia="zh-CN" w:bidi="ar-SA"/>
        </w:rPr>
        <w:t>个，涉及预算总金额</w:t>
      </w:r>
      <w:r>
        <w:rPr>
          <w:rFonts w:hint="eastAsia" w:ascii="Times New Roman" w:hAnsi="Times New Roman" w:eastAsia="仿宋_GB2312" w:cs="仿宋_GB2312"/>
          <w:color w:val="auto"/>
          <w:kern w:val="2"/>
          <w:sz w:val="32"/>
          <w:szCs w:val="32"/>
          <w:highlight w:val="none"/>
          <w:lang w:val="en-US" w:eastAsia="zh-CN" w:bidi="ar-SA"/>
        </w:rPr>
        <w:t>50</w:t>
      </w:r>
      <w:r>
        <w:rPr>
          <w:rFonts w:hint="eastAsia" w:ascii="Times New Roman" w:hAnsi="Times New Roman" w:eastAsia="仿宋_GB2312" w:cs="仿宋_GB2312"/>
          <w:color w:val="auto"/>
          <w:kern w:val="2"/>
          <w:sz w:val="32"/>
          <w:szCs w:val="32"/>
          <w:highlight w:val="none"/>
          <w:lang w:val="zh-CN" w:eastAsia="zh-CN" w:bidi="ar-SA"/>
        </w:rPr>
        <w:t>万元，1—1</w:t>
      </w:r>
      <w:r>
        <w:rPr>
          <w:rFonts w:hint="eastAsia" w:ascii="Times New Roman" w:hAnsi="Times New Roman" w:eastAsia="仿宋_GB2312" w:cs="仿宋_GB2312"/>
          <w:color w:val="auto"/>
          <w:kern w:val="2"/>
          <w:sz w:val="32"/>
          <w:szCs w:val="32"/>
          <w:highlight w:val="none"/>
          <w:lang w:val="en-US" w:eastAsia="zh-CN" w:bidi="ar-SA"/>
        </w:rPr>
        <w:t>2</w:t>
      </w:r>
      <w:r>
        <w:rPr>
          <w:rFonts w:hint="eastAsia" w:ascii="Times New Roman" w:hAnsi="Times New Roman" w:eastAsia="仿宋_GB2312" w:cs="仿宋_GB2312"/>
          <w:color w:val="auto"/>
          <w:kern w:val="2"/>
          <w:sz w:val="32"/>
          <w:szCs w:val="32"/>
          <w:highlight w:val="none"/>
          <w:lang w:val="zh-CN" w:eastAsia="zh-CN" w:bidi="ar-SA"/>
        </w:rPr>
        <w:t>月预算执行总体进度为</w:t>
      </w:r>
      <w:r>
        <w:rPr>
          <w:rFonts w:hint="eastAsia" w:ascii="Times New Roman" w:hAnsi="Times New Roman" w:eastAsia="仿宋_GB2312" w:cs="仿宋_GB2312"/>
          <w:color w:val="auto"/>
          <w:kern w:val="2"/>
          <w:sz w:val="32"/>
          <w:szCs w:val="32"/>
          <w:highlight w:val="none"/>
          <w:lang w:val="en-US" w:eastAsia="zh-CN" w:bidi="ar-SA"/>
        </w:rPr>
        <w:t xml:space="preserve">100 </w:t>
      </w:r>
      <w:r>
        <w:rPr>
          <w:rFonts w:hint="eastAsia" w:ascii="Times New Roman" w:hAnsi="Times New Roman" w:eastAsia="仿宋_GB2312" w:cs="仿宋_GB2312"/>
          <w:color w:val="auto"/>
          <w:kern w:val="2"/>
          <w:sz w:val="32"/>
          <w:szCs w:val="32"/>
          <w:highlight w:val="none"/>
          <w:lang w:val="zh-CN" w:eastAsia="zh-CN" w:bidi="ar-SA"/>
        </w:rPr>
        <w:t>%，其中：预算结余率大于</w:t>
      </w:r>
      <w:r>
        <w:rPr>
          <w:rFonts w:hint="eastAsia" w:ascii="Times New Roman" w:hAnsi="Times New Roman" w:eastAsia="仿宋_GB2312" w:cs="仿宋_GB2312"/>
          <w:color w:val="auto"/>
          <w:kern w:val="2"/>
          <w:sz w:val="32"/>
          <w:szCs w:val="32"/>
          <w:highlight w:val="none"/>
          <w:lang w:val="en-US" w:eastAsia="zh-CN" w:bidi="ar-SA"/>
        </w:rPr>
        <w:t>10%</w:t>
      </w:r>
      <w:r>
        <w:rPr>
          <w:rFonts w:hint="eastAsia" w:ascii="Times New Roman" w:hAnsi="Times New Roman" w:eastAsia="仿宋_GB2312" w:cs="仿宋_GB2312"/>
          <w:color w:val="auto"/>
          <w:kern w:val="2"/>
          <w:sz w:val="32"/>
          <w:szCs w:val="32"/>
          <w:highlight w:val="none"/>
          <w:lang w:val="zh-CN" w:eastAsia="zh-CN" w:bidi="ar-SA"/>
        </w:rPr>
        <w:t>的项目共计</w:t>
      </w:r>
      <w:r>
        <w:rPr>
          <w:rFonts w:hint="eastAsia" w:ascii="Times New Roman" w:hAnsi="Times New Roman" w:eastAsia="仿宋_GB2312" w:cs="仿宋_GB2312"/>
          <w:color w:val="auto"/>
          <w:kern w:val="2"/>
          <w:sz w:val="32"/>
          <w:szCs w:val="32"/>
          <w:highlight w:val="none"/>
          <w:lang w:val="en-US" w:eastAsia="zh-CN" w:bidi="ar-SA"/>
        </w:rPr>
        <w:t>0</w:t>
      </w:r>
      <w:r>
        <w:rPr>
          <w:rFonts w:hint="eastAsia" w:ascii="Times New Roman" w:hAnsi="Times New Roman" w:eastAsia="仿宋_GB2312" w:cs="仿宋_GB2312"/>
          <w:color w:val="auto"/>
          <w:kern w:val="2"/>
          <w:sz w:val="32"/>
          <w:szCs w:val="32"/>
          <w:highlight w:val="none"/>
          <w:lang w:val="zh-CN" w:eastAsia="zh-CN" w:bidi="ar-SA"/>
        </w:rPr>
        <w:t>个。</w:t>
      </w:r>
    </w:p>
    <w:p w14:paraId="3C4C589E">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1.</w:t>
      </w:r>
      <w:r>
        <w:rPr>
          <w:rFonts w:hint="eastAsia" w:ascii="Times New Roman" w:hAnsi="Times New Roman" w:eastAsia="仿宋_GB2312" w:cs="仿宋_GB2312"/>
          <w:color w:val="auto"/>
          <w:kern w:val="2"/>
          <w:sz w:val="32"/>
          <w:szCs w:val="32"/>
          <w:highlight w:val="none"/>
          <w:lang w:val="zh-CN" w:eastAsia="zh-CN" w:bidi="ar-SA"/>
        </w:rPr>
        <w:t>项目决策。</w:t>
      </w:r>
      <w:r>
        <w:rPr>
          <w:rFonts w:hint="eastAsia" w:ascii="Times New Roman" w:hAnsi="Times New Roman" w:eastAsia="仿宋_GB2312" w:cs="仿宋_GB2312"/>
          <w:color w:val="auto"/>
          <w:kern w:val="2"/>
          <w:sz w:val="32"/>
          <w:szCs w:val="32"/>
          <w:highlight w:val="none"/>
          <w:lang w:val="en-US" w:eastAsia="zh-CN" w:bidi="ar-SA"/>
        </w:rPr>
        <w:t>进行项目入库时，我委财务人员会同业务科室经办人员将围绕部门决策程序、该项目的目标任务情况，设置相应的各项指标。进行各项指标任务绩效分析。</w:t>
      </w:r>
    </w:p>
    <w:p w14:paraId="278636D1">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2.项目执行</w:t>
      </w:r>
      <w:r>
        <w:rPr>
          <w:rFonts w:hint="eastAsia" w:ascii="Times New Roman" w:hAnsi="Times New Roman" w:eastAsia="仿宋_GB2312" w:cs="仿宋_GB2312"/>
          <w:color w:val="auto"/>
          <w:kern w:val="2"/>
          <w:sz w:val="32"/>
          <w:szCs w:val="32"/>
          <w:highlight w:val="none"/>
          <w:lang w:val="zh-CN" w:eastAsia="zh-CN" w:bidi="ar-SA"/>
        </w:rPr>
        <w:t>。</w:t>
      </w:r>
      <w:r>
        <w:rPr>
          <w:rFonts w:hint="eastAsia" w:ascii="Times New Roman" w:hAnsi="Times New Roman" w:eastAsia="仿宋_GB2312" w:cs="仿宋_GB2312"/>
          <w:color w:val="auto"/>
          <w:kern w:val="2"/>
          <w:sz w:val="32"/>
          <w:szCs w:val="32"/>
          <w:highlight w:val="none"/>
          <w:lang w:val="en-US" w:eastAsia="zh-CN" w:bidi="ar-SA"/>
        </w:rPr>
        <w:t>每年除按照市财政绩效科的安排，进行了5月和9月两次项目绩效自评监测外。我委每月底还围绕项目资金的执行情况，对项目的开展进度进行调整，对当前项目执行绩效进行分析。</w:t>
      </w:r>
    </w:p>
    <w:p w14:paraId="43C51A8A">
      <w:pPr>
        <w:spacing w:line="600" w:lineRule="exact"/>
        <w:ind w:firstLine="640"/>
        <w:rPr>
          <w:rFonts w:hint="default"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3.</w:t>
      </w:r>
      <w:r>
        <w:rPr>
          <w:rFonts w:hint="eastAsia" w:ascii="Times New Roman" w:hAnsi="Times New Roman" w:eastAsia="仿宋_GB2312" w:cs="仿宋_GB2312"/>
          <w:color w:val="auto"/>
          <w:kern w:val="2"/>
          <w:sz w:val="32"/>
          <w:szCs w:val="32"/>
          <w:highlight w:val="none"/>
          <w:lang w:val="zh-CN" w:eastAsia="zh-CN" w:bidi="ar-SA"/>
        </w:rPr>
        <w:t>目标实现。</w:t>
      </w:r>
      <w:r>
        <w:rPr>
          <w:rFonts w:hint="eastAsia" w:ascii="Times New Roman" w:hAnsi="Times New Roman" w:eastAsia="仿宋_GB2312" w:cs="仿宋_GB2312"/>
          <w:color w:val="auto"/>
          <w:kern w:val="2"/>
          <w:sz w:val="32"/>
          <w:szCs w:val="32"/>
          <w:highlight w:val="none"/>
          <w:lang w:val="en-US" w:eastAsia="zh-CN" w:bidi="ar-SA"/>
        </w:rPr>
        <w:t>我委2024年主要有5个常年项目。法学会项目：2024年完成了13个课题研究，完成了2024年绩效目标考核。培训费项目：完成了三场与政法法工作业务密切相关的培训，培训考核通过率高。平安建设工作经费项目：完成了我委建设平安泸州，进行见义勇为表彰、购买见义勇为保险、链路视频图像资源运维护等目标任务。政法智能化建设项目：完成了对专网系统维护及运营数量，搭建平安泸州态势分析平台为我市综治安全工作信息化处理提供了有力保障。驻村第一书记工作经费项目：完成了派驻两名工作人队员到将军湖村进行联村工作，两人考勤均为100%。为脱贫攻坚和建设新农村作出了贡献。</w:t>
      </w:r>
    </w:p>
    <w:p w14:paraId="34BAAAF5">
      <w:pPr>
        <w:keepNext w:val="0"/>
        <w:keepLines w:val="0"/>
        <w:pageBreakBefore w:val="0"/>
        <w:widowControl w:val="0"/>
        <w:kinsoku/>
        <w:wordWrap/>
        <w:overflowPunct/>
        <w:topLinePunct w:val="0"/>
        <w:autoSpaceDE/>
        <w:autoSpaceDN/>
        <w:bidi w:val="0"/>
        <w:snapToGrid w:val="0"/>
        <w:spacing w:line="600" w:lineRule="exact"/>
        <w:ind w:firstLine="643" w:firstLineChars="200"/>
        <w:textAlignment w:val="auto"/>
        <w:rPr>
          <w:rFonts w:hint="eastAsia" w:ascii="Times New Roman" w:hAnsi="Times New Roman" w:eastAsia="楷体_GB2312" w:cs="Times New Roman"/>
          <w:b/>
          <w:bCs/>
          <w:color w:val="000000"/>
          <w:kern w:val="0"/>
          <w:sz w:val="32"/>
          <w:szCs w:val="32"/>
          <w:highlight w:val="none"/>
          <w:shd w:val="clear" w:color="auto" w:fill="FFFFFF"/>
          <w:lang w:val="zh-CN" w:eastAsia="zh-CN"/>
        </w:rPr>
      </w:pPr>
      <w:r>
        <w:rPr>
          <w:rFonts w:hint="default" w:ascii="Times New Roman" w:hAnsi="Times New Roman" w:eastAsia="楷体_GB2312" w:cs="Times New Roman"/>
          <w:b/>
          <w:bCs/>
          <w:color w:val="000000"/>
          <w:kern w:val="0"/>
          <w:sz w:val="32"/>
          <w:szCs w:val="32"/>
          <w:highlight w:val="none"/>
          <w:shd w:val="clear" w:color="auto" w:fill="FFFFFF"/>
          <w:lang w:val="zh-CN" w:eastAsia="zh-CN"/>
        </w:rPr>
        <w:t>（</w:t>
      </w:r>
      <w:r>
        <w:rPr>
          <w:rFonts w:hint="eastAsia" w:eastAsia="楷体_GB2312" w:cs="Times New Roman"/>
          <w:b/>
          <w:bCs/>
          <w:color w:val="000000"/>
          <w:kern w:val="0"/>
          <w:sz w:val="32"/>
          <w:szCs w:val="32"/>
          <w:highlight w:val="none"/>
          <w:shd w:val="clear" w:color="auto" w:fill="FFFFFF"/>
          <w:lang w:val="en-US" w:eastAsia="zh-CN"/>
        </w:rPr>
        <w:t>三</w:t>
      </w:r>
      <w:r>
        <w:rPr>
          <w:rFonts w:hint="default" w:ascii="Times New Roman" w:hAnsi="Times New Roman" w:eastAsia="楷体_GB2312" w:cs="Times New Roman"/>
          <w:b/>
          <w:bCs/>
          <w:color w:val="000000"/>
          <w:kern w:val="0"/>
          <w:sz w:val="32"/>
          <w:szCs w:val="32"/>
          <w:highlight w:val="none"/>
          <w:shd w:val="clear" w:color="auto" w:fill="FFFFFF"/>
          <w:lang w:val="zh-CN" w:eastAsia="zh-CN"/>
        </w:rPr>
        <w:t>）绩效结果应用情况</w:t>
      </w:r>
      <w:r>
        <w:rPr>
          <w:rFonts w:hint="eastAsia" w:ascii="Times New Roman" w:hAnsi="Times New Roman" w:eastAsia="楷体_GB2312" w:cs="Times New Roman"/>
          <w:b/>
          <w:bCs/>
          <w:color w:val="000000"/>
          <w:kern w:val="0"/>
          <w:sz w:val="32"/>
          <w:szCs w:val="32"/>
          <w:highlight w:val="none"/>
          <w:shd w:val="clear" w:color="auto" w:fill="FFFFFF"/>
          <w:lang w:val="zh-CN" w:eastAsia="zh-CN"/>
        </w:rPr>
        <w:t>。</w:t>
      </w:r>
    </w:p>
    <w:p w14:paraId="3CBFAF01">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2024年经过绩效考核结果，我委针对各项目的分析情况，对下一年各个项目实施有了明确的方向：</w:t>
      </w:r>
    </w:p>
    <w:p w14:paraId="70BED87F">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第一从预算分配与调整方面。优先支持高效项目：绩效评价优良的项目，在下一年预算安排中优先保障或者增加资金。对绩效评价差、目标偏离的项目，压减预算或终止项目。如有跨年项目根据阶段性绩效评价结果动态调整后续资金。第二根据绩效评价结果作为政策延续、调整或退出的依据，实施效果不理想的项目则叫停。第三针对绩效评价中发现的执行滞后、资金闲置等问题，要求业务科室限期整改。第四按照规定公开绩效评价结果，接受监督。</w:t>
      </w:r>
    </w:p>
    <w:p w14:paraId="4FF459A7">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2024年我委各项目均为常年项目，但也有创新和改革。保证大方向不变的情况下，有小调整。按照既定目标，各项目均按时，保质保量，完成，绩效评价均达标。</w:t>
      </w:r>
    </w:p>
    <w:p w14:paraId="6350EE46">
      <w:pPr>
        <w:spacing w:line="600" w:lineRule="exact"/>
        <w:ind w:firstLine="640"/>
        <w:rPr>
          <w:rFonts w:hint="default"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通过一年的绩效目标工作，我们对预算有了明确的用途和目标，详细了解各阶段的执行情况，资金到位情况。预算决策、管理、执行日益规范，能较好地满足工作需要，取得了良好的经济效益和社会效益。</w:t>
      </w:r>
    </w:p>
    <w:p w14:paraId="03D0526E">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default" w:ascii="Times New Roman" w:hAnsi="Times New Roman" w:eastAsia="黑体" w:cs="Times New Roman"/>
          <w:color w:val="000000"/>
          <w:kern w:val="0"/>
          <w:sz w:val="32"/>
          <w:szCs w:val="32"/>
          <w:highlight w:val="none"/>
          <w:shd w:val="clear" w:color="auto" w:fill="FFFFFF"/>
          <w:lang w:val="zh-CN"/>
        </w:rPr>
      </w:pPr>
      <w:r>
        <w:rPr>
          <w:rFonts w:hint="default" w:ascii="Times New Roman" w:hAnsi="Times New Roman" w:eastAsia="黑体" w:cs="Times New Roman"/>
          <w:color w:val="000000"/>
          <w:kern w:val="0"/>
          <w:sz w:val="32"/>
          <w:szCs w:val="32"/>
          <w:highlight w:val="none"/>
          <w:shd w:val="clear" w:color="auto" w:fill="FFFFFF"/>
          <w:lang w:val="zh-CN" w:eastAsia="zh-CN"/>
        </w:rPr>
        <w:t>四、</w:t>
      </w:r>
      <w:r>
        <w:rPr>
          <w:rFonts w:hint="default" w:ascii="Times New Roman" w:hAnsi="Times New Roman" w:eastAsia="黑体" w:cs="Times New Roman"/>
          <w:color w:val="000000"/>
          <w:kern w:val="0"/>
          <w:sz w:val="32"/>
          <w:szCs w:val="32"/>
          <w:highlight w:val="none"/>
          <w:shd w:val="clear" w:color="auto" w:fill="FFFFFF"/>
          <w:lang w:val="zh-CN"/>
        </w:rPr>
        <w:t>评价结论及建议</w:t>
      </w:r>
    </w:p>
    <w:p w14:paraId="452939F1">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default" w:ascii="Times New Roman" w:hAnsi="Times New Roman" w:eastAsia="楷体_GB2312" w:cs="Times New Roman"/>
          <w:b/>
          <w:bCs/>
          <w:color w:val="000000"/>
          <w:kern w:val="0"/>
          <w:sz w:val="32"/>
          <w:szCs w:val="32"/>
          <w:highlight w:val="none"/>
          <w:shd w:val="clear" w:color="auto" w:fill="FFFFFF"/>
          <w:lang w:val="zh-CN"/>
        </w:rPr>
        <w:t>（一）评价结论。</w:t>
      </w:r>
      <w:r>
        <w:rPr>
          <w:rFonts w:hint="eastAsia" w:ascii="Times New Roman" w:hAnsi="Times New Roman" w:eastAsia="仿宋_GB2312" w:cs="仿宋_GB2312"/>
          <w:color w:val="auto"/>
          <w:kern w:val="2"/>
          <w:sz w:val="32"/>
          <w:szCs w:val="32"/>
          <w:highlight w:val="none"/>
          <w:lang w:val="en-US" w:eastAsia="zh-CN" w:bidi="ar-SA"/>
        </w:rPr>
        <w:t>2024年我委按照市财政局组织开展的预算绩效工作要求，在编制预算严格制定部门整体绩效。我委对各项目进行了事前评估，并写了评估报告。项目进行中安排开展了绩效运行自行监控，对未完成阶段性任务和资金支付任务的项目进行调查，及时作出工作调整。事后绩效评价结果应用，部门绩效自评提出问题全部进行了整改。</w:t>
      </w:r>
    </w:p>
    <w:p w14:paraId="73103F62">
      <w:pPr>
        <w:spacing w:line="600" w:lineRule="exact"/>
        <w:ind w:firstLine="640"/>
        <w:rPr>
          <w:rFonts w:hint="default"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按照《中共泸州市委 泸州市人民政府关于全面落实预算绩效管理的实施意见》《泸州市目标绩效管理办法》《泸州市市级财政预算绩效结果应用管理暂行办法》规定，我们对照预算绩效管理考核评分的各项评分标准进行客观真实的自行评价和打分，我委总分为96分。</w:t>
      </w:r>
    </w:p>
    <w:p w14:paraId="100BE2C6">
      <w:pPr>
        <w:spacing w:line="540" w:lineRule="exact"/>
        <w:ind w:firstLine="643" w:firstLineChars="200"/>
        <w:rPr>
          <w:rFonts w:hint="default" w:ascii="Times New Roman" w:hAnsi="Times New Roman" w:eastAsia="仿宋_GB2312" w:cs="仿宋_GB2312"/>
          <w:color w:val="auto"/>
          <w:kern w:val="2"/>
          <w:sz w:val="32"/>
          <w:szCs w:val="32"/>
          <w:highlight w:val="none"/>
          <w:lang w:val="zh-CN" w:eastAsia="zh-CN" w:bidi="ar-SA"/>
        </w:rPr>
      </w:pPr>
      <w:r>
        <w:rPr>
          <w:rFonts w:hint="eastAsia" w:eastAsia="楷体_GB2312" w:cs="Times New Roman"/>
          <w:b/>
          <w:bCs/>
          <w:color w:val="000000"/>
          <w:kern w:val="0"/>
          <w:sz w:val="32"/>
          <w:szCs w:val="32"/>
          <w:highlight w:val="none"/>
          <w:shd w:val="clear" w:color="auto" w:fill="FFFFFF"/>
          <w:lang w:val="zh-CN"/>
        </w:rPr>
        <w:t>（</w:t>
      </w:r>
      <w:r>
        <w:rPr>
          <w:rFonts w:hint="eastAsia" w:eastAsia="楷体_GB2312" w:cs="Times New Roman"/>
          <w:b/>
          <w:bCs/>
          <w:color w:val="000000"/>
          <w:kern w:val="0"/>
          <w:sz w:val="32"/>
          <w:szCs w:val="32"/>
          <w:highlight w:val="none"/>
          <w:shd w:val="clear" w:color="auto" w:fill="FFFFFF"/>
          <w:lang w:val="en-US" w:eastAsia="zh-CN"/>
        </w:rPr>
        <w:t>二</w:t>
      </w:r>
      <w:r>
        <w:rPr>
          <w:rFonts w:hint="eastAsia" w:eastAsia="楷体_GB2312" w:cs="Times New Roman"/>
          <w:b/>
          <w:bCs/>
          <w:color w:val="000000"/>
          <w:kern w:val="0"/>
          <w:sz w:val="32"/>
          <w:szCs w:val="32"/>
          <w:highlight w:val="none"/>
          <w:shd w:val="clear" w:color="auto" w:fill="FFFFFF"/>
          <w:lang w:val="zh-CN"/>
        </w:rPr>
        <w:t>）</w:t>
      </w:r>
      <w:r>
        <w:rPr>
          <w:rFonts w:hint="default" w:ascii="Times New Roman" w:hAnsi="Times New Roman" w:eastAsia="楷体_GB2312" w:cs="Times New Roman"/>
          <w:b/>
          <w:bCs/>
          <w:color w:val="000000"/>
          <w:kern w:val="0"/>
          <w:sz w:val="32"/>
          <w:szCs w:val="32"/>
          <w:highlight w:val="none"/>
          <w:shd w:val="clear" w:color="auto" w:fill="FFFFFF"/>
          <w:lang w:val="zh-CN"/>
        </w:rPr>
        <w:t>存在问题。</w:t>
      </w:r>
      <w:r>
        <w:rPr>
          <w:rFonts w:hint="eastAsia" w:ascii="Times New Roman" w:hAnsi="Times New Roman" w:eastAsia="仿宋_GB2312" w:cs="仿宋_GB2312"/>
          <w:color w:val="auto"/>
          <w:kern w:val="2"/>
          <w:sz w:val="32"/>
          <w:szCs w:val="32"/>
          <w:highlight w:val="none"/>
          <w:lang w:val="zh-CN" w:eastAsia="zh-CN" w:bidi="ar-SA"/>
        </w:rPr>
        <w:t>1.绩效评价管理制度尚不健全。虽然制定了相关的管理办法和实施细则，但绩效管理工作机制和流程还有不完善的地方。2.对责任评价工作的认识不够。通过绩效评价工作的逐步推进，各科室逐步树立了绩效理念，但了解不够深入，认为绩效评价是以财务部门为重，绩效议价工作资料存在内容粗浅的现象。3.资产管理与预算管缺乏有机结合，将资产管理与预算管理的有机结合作为管理工作的出发点和最终目标有待进一步加强。4.人员素质有待进一步提高。由于预算绩效管理专业性强，参加培训学习少，存在业务不精的现象。</w:t>
      </w:r>
    </w:p>
    <w:p w14:paraId="6B9D03D7">
      <w:pPr>
        <w:spacing w:line="600" w:lineRule="exact"/>
        <w:ind w:firstLine="640"/>
        <w:rPr>
          <w:rFonts w:hint="eastAsia" w:ascii="Times New Roman" w:hAnsi="Times New Roman" w:eastAsia="仿宋_GB2312" w:cs="仿宋_GB2312"/>
          <w:color w:val="auto"/>
          <w:kern w:val="2"/>
          <w:sz w:val="32"/>
          <w:szCs w:val="32"/>
          <w:highlight w:val="none"/>
          <w:lang w:val="en" w:eastAsia="zh-CN" w:bidi="ar-SA"/>
        </w:rPr>
      </w:pPr>
      <w:r>
        <w:rPr>
          <w:rFonts w:hint="default" w:ascii="Times New Roman" w:hAnsi="Times New Roman" w:eastAsia="楷体_GB2312" w:cs="Times New Roman"/>
          <w:b/>
          <w:bCs/>
          <w:color w:val="000000"/>
          <w:kern w:val="0"/>
          <w:sz w:val="32"/>
          <w:szCs w:val="32"/>
          <w:highlight w:val="none"/>
          <w:shd w:val="clear" w:color="auto" w:fill="FFFFFF"/>
          <w:lang w:val="zh-CN" w:eastAsia="zh-CN"/>
        </w:rPr>
        <w:t>（三）改进建议。</w:t>
      </w:r>
      <w:bookmarkStart w:id="55" w:name="_Hlk110546638"/>
      <w:r>
        <w:rPr>
          <w:rFonts w:hint="eastAsia" w:ascii="Times New Roman" w:hAnsi="Times New Roman" w:eastAsia="仿宋_GB2312" w:cs="仿宋_GB2312"/>
          <w:color w:val="auto"/>
          <w:kern w:val="2"/>
          <w:sz w:val="32"/>
          <w:szCs w:val="32"/>
          <w:highlight w:val="none"/>
          <w:lang w:val="zh-CN" w:eastAsia="zh-CN" w:bidi="ar-SA"/>
        </w:rPr>
        <w:t>1.进一步完善绩效评价工作制度。逐步建立和完善财政支出绩效评价相关制度。2.进一步提高对绩效评价工作认识。在预算编制方面，加强预算管理意识，严格按照预算编制的相关制度和要求，进一步提高预算编制的科学性、合理性、严谨性和可控性。在单位内部方面，要深挖潜力，强化责任意识，细化工作措施，夯实管理基础，加强统筹协调，不断提高管理水平和能力，切实 抓好部门预算和执行等管理工作，促进财政资金使用高效。3.进一步规范配置资产的科学性、合理性。根据单位自身工作特点和工作需要，依据人员编制和资产定额标准来配置资产，杜绝多要多占行为的发生，提高资产运行效率。4.进一步提升业务工作能力。加强学习培训，特别是绩效评价工作涉及项目业务、财务等多方面的专业学习，有效提高管理人员业务水平，真正将绩效管理工作落到实处。</w:t>
      </w:r>
    </w:p>
    <w:bookmarkEnd w:id="55"/>
    <w:p w14:paraId="224F35EF">
      <w:pPr>
        <w:spacing w:line="600" w:lineRule="exact"/>
        <w:ind w:firstLine="640"/>
        <w:rPr>
          <w:rFonts w:hint="eastAsia" w:ascii="Times New Roman" w:hAnsi="Times New Roman" w:eastAsia="仿宋_GB2312" w:cs="仿宋_GB2312"/>
          <w:color w:val="auto"/>
          <w:kern w:val="2"/>
          <w:sz w:val="32"/>
          <w:szCs w:val="32"/>
          <w:highlight w:val="none"/>
          <w:lang w:val="zh-CN" w:eastAsia="zh-CN" w:bidi="ar-SA"/>
        </w:rPr>
      </w:pPr>
    </w:p>
    <w:p w14:paraId="31C09AB9">
      <w:pPr>
        <w:spacing w:line="600" w:lineRule="exact"/>
        <w:ind w:firstLine="640"/>
        <w:rPr>
          <w:rFonts w:hint="eastAsia" w:ascii="Times New Roman" w:hAnsi="Times New Roman" w:eastAsia="仿宋_GB2312" w:cs="Times New Roman"/>
          <w:kern w:val="2"/>
          <w:sz w:val="32"/>
          <w:szCs w:val="32"/>
          <w:u w:val="none"/>
          <w:lang w:val="zh-CN" w:eastAsia="zh-CN" w:bidi="ar"/>
        </w:rPr>
      </w:pPr>
      <w:r>
        <w:rPr>
          <w:rFonts w:hint="eastAsia" w:ascii="Times New Roman" w:hAnsi="Times New Roman" w:eastAsia="仿宋_GB2312" w:cs="仿宋_GB2312"/>
          <w:color w:val="auto"/>
          <w:kern w:val="2"/>
          <w:sz w:val="32"/>
          <w:szCs w:val="32"/>
          <w:highlight w:val="none"/>
          <w:lang w:val="zh-CN" w:eastAsia="zh-CN" w:bidi="ar-SA"/>
        </w:rPr>
        <w:t>附表：</w:t>
      </w:r>
      <w:r>
        <w:rPr>
          <w:rFonts w:hint="eastAsia" w:ascii="Times New Roman" w:hAnsi="Times New Roman" w:eastAsia="仿宋_GB2312" w:cs="仿宋_GB2312"/>
          <w:color w:val="auto"/>
          <w:kern w:val="2"/>
          <w:sz w:val="32"/>
          <w:szCs w:val="32"/>
          <w:highlight w:val="none"/>
          <w:lang w:val="en-US" w:eastAsia="zh-CN" w:bidi="ar-SA"/>
        </w:rPr>
        <w:t>部门预算项目支出绩效自评表（2024年度）</w:t>
      </w:r>
    </w:p>
    <w:p w14:paraId="6F5BDD77">
      <w:pPr>
        <w:pStyle w:val="7"/>
        <w:keepNext w:val="0"/>
        <w:keepLines w:val="0"/>
        <w:pageBreakBefore w:val="0"/>
        <w:numPr>
          <w:ilvl w:val="0"/>
          <w:numId w:val="0"/>
        </w:numPr>
        <w:kinsoku/>
        <w:wordWrap/>
        <w:overflowPunct/>
        <w:topLinePunct w:val="0"/>
        <w:autoSpaceDE/>
        <w:autoSpaceDN/>
        <w:bidi w:val="0"/>
        <w:spacing w:line="560" w:lineRule="exact"/>
        <w:textAlignment w:val="auto"/>
        <w:rPr>
          <w:rFonts w:hint="eastAsia" w:ascii="Times New Roman" w:hAnsi="Times New Roman" w:cs="Times New Roman"/>
          <w:sz w:val="32"/>
          <w:szCs w:val="32"/>
          <w:highlight w:val="yellow"/>
          <w:lang w:val="zh-CN" w:eastAsia="zh-CN"/>
        </w:rPr>
      </w:pPr>
    </w:p>
    <w:p w14:paraId="077962AB">
      <w:pPr>
        <w:pStyle w:val="7"/>
        <w:keepNext w:val="0"/>
        <w:keepLines w:val="0"/>
        <w:pageBreakBefore w:val="0"/>
        <w:numPr>
          <w:ilvl w:val="0"/>
          <w:numId w:val="0"/>
        </w:numPr>
        <w:kinsoku/>
        <w:wordWrap/>
        <w:overflowPunct/>
        <w:topLinePunct w:val="0"/>
        <w:autoSpaceDE/>
        <w:autoSpaceDN/>
        <w:bidi w:val="0"/>
        <w:spacing w:line="560" w:lineRule="exact"/>
        <w:textAlignment w:val="auto"/>
        <w:rPr>
          <w:rFonts w:hint="eastAsia" w:ascii="Times New Roman" w:hAnsi="Times New Roman" w:cs="Times New Roman"/>
          <w:sz w:val="32"/>
          <w:szCs w:val="32"/>
          <w:highlight w:val="yellow"/>
          <w:lang w:val="zh-CN" w:eastAsia="zh-CN"/>
        </w:rPr>
      </w:pPr>
    </w:p>
    <w:p w14:paraId="2E3FCF00">
      <w:pPr>
        <w:pStyle w:val="7"/>
        <w:keepNext w:val="0"/>
        <w:keepLines w:val="0"/>
        <w:pageBreakBefore w:val="0"/>
        <w:numPr>
          <w:ilvl w:val="0"/>
          <w:numId w:val="0"/>
        </w:numPr>
        <w:kinsoku/>
        <w:wordWrap/>
        <w:overflowPunct/>
        <w:topLinePunct w:val="0"/>
        <w:autoSpaceDE/>
        <w:autoSpaceDN/>
        <w:bidi w:val="0"/>
        <w:spacing w:line="560" w:lineRule="exact"/>
        <w:textAlignment w:val="auto"/>
        <w:rPr>
          <w:rFonts w:hint="eastAsia" w:ascii="Times New Roman" w:hAnsi="Times New Roman" w:cs="Times New Roman"/>
          <w:sz w:val="32"/>
          <w:szCs w:val="32"/>
          <w:highlight w:val="yellow"/>
          <w:lang w:val="zh-CN" w:eastAsia="zh-CN"/>
        </w:rPr>
      </w:pPr>
    </w:p>
    <w:p w14:paraId="36784F14">
      <w:pPr>
        <w:pStyle w:val="7"/>
        <w:keepNext w:val="0"/>
        <w:keepLines w:val="0"/>
        <w:pageBreakBefore w:val="0"/>
        <w:numPr>
          <w:ilvl w:val="0"/>
          <w:numId w:val="0"/>
        </w:numPr>
        <w:kinsoku/>
        <w:wordWrap/>
        <w:overflowPunct/>
        <w:topLinePunct w:val="0"/>
        <w:autoSpaceDE/>
        <w:autoSpaceDN/>
        <w:bidi w:val="0"/>
        <w:spacing w:line="560" w:lineRule="exact"/>
        <w:textAlignment w:val="auto"/>
        <w:rPr>
          <w:rFonts w:hint="eastAsia" w:ascii="Times New Roman" w:hAnsi="Times New Roman" w:cs="Times New Roman"/>
          <w:sz w:val="32"/>
          <w:szCs w:val="32"/>
          <w:highlight w:val="yellow"/>
          <w:lang w:val="zh-CN" w:eastAsia="zh-CN"/>
        </w:rPr>
      </w:pPr>
    </w:p>
    <w:p w14:paraId="0B8F1C1C">
      <w:pPr>
        <w:pStyle w:val="7"/>
        <w:keepNext w:val="0"/>
        <w:keepLines w:val="0"/>
        <w:pageBreakBefore w:val="0"/>
        <w:numPr>
          <w:ilvl w:val="0"/>
          <w:numId w:val="0"/>
        </w:numPr>
        <w:kinsoku/>
        <w:wordWrap/>
        <w:overflowPunct/>
        <w:topLinePunct w:val="0"/>
        <w:autoSpaceDE/>
        <w:autoSpaceDN/>
        <w:bidi w:val="0"/>
        <w:spacing w:line="560" w:lineRule="exact"/>
        <w:textAlignment w:val="auto"/>
        <w:rPr>
          <w:rFonts w:hint="eastAsia" w:ascii="Times New Roman" w:hAnsi="Times New Roman" w:cs="Times New Roman"/>
          <w:sz w:val="32"/>
          <w:szCs w:val="32"/>
          <w:highlight w:val="yellow"/>
          <w:lang w:val="zh-CN" w:eastAsia="zh-CN"/>
        </w:rPr>
      </w:pPr>
    </w:p>
    <w:p w14:paraId="6210C5DE">
      <w:pPr>
        <w:pStyle w:val="5"/>
        <w:rPr>
          <w:rFonts w:hint="eastAsia" w:ascii="Times New Roman" w:hAnsi="Times New Roman" w:cs="宋体"/>
          <w:color w:val="FF0000"/>
          <w:kern w:val="0"/>
          <w:sz w:val="32"/>
          <w:szCs w:val="32"/>
          <w:highlight w:val="yellow"/>
          <w:shd w:val="clear" w:color="auto" w:fill="FFFFFF"/>
          <w:lang w:val="zh-CN"/>
        </w:rPr>
      </w:pPr>
    </w:p>
    <w:p w14:paraId="5EBFA2CC">
      <w:pPr>
        <w:rPr>
          <w:rFonts w:hint="eastAsia" w:ascii="Times New Roman" w:hAnsi="Times New Roman" w:eastAsia="黑体" w:cs="黑体"/>
          <w:color w:val="auto"/>
          <w:kern w:val="0"/>
          <w:sz w:val="32"/>
          <w:szCs w:val="32"/>
          <w:highlight w:val="none"/>
          <w:shd w:val="clear" w:color="auto" w:fill="FFFFFF"/>
          <w:lang w:val="zh-CN"/>
        </w:rPr>
      </w:pPr>
    </w:p>
    <w:p w14:paraId="5D7D33F1">
      <w:pPr>
        <w:rPr>
          <w:rFonts w:hint="eastAsia" w:ascii="Times New Roman" w:hAnsi="Times New Roman" w:eastAsia="黑体" w:cs="黑体"/>
          <w:color w:val="auto"/>
          <w:kern w:val="0"/>
          <w:sz w:val="32"/>
          <w:szCs w:val="32"/>
          <w:highlight w:val="none"/>
          <w:shd w:val="clear" w:color="auto" w:fill="FFFFFF"/>
          <w:lang w:val="zh-CN"/>
        </w:rPr>
      </w:pPr>
    </w:p>
    <w:p w14:paraId="030799BB">
      <w:pPr>
        <w:rPr>
          <w:rFonts w:hint="eastAsia" w:ascii="Times New Roman" w:hAnsi="Times New Roman" w:eastAsia="黑体" w:cs="黑体"/>
          <w:color w:val="auto"/>
          <w:kern w:val="0"/>
          <w:sz w:val="32"/>
          <w:szCs w:val="32"/>
          <w:highlight w:val="none"/>
          <w:shd w:val="clear" w:color="auto" w:fill="FFFFFF"/>
          <w:lang w:val="zh-CN"/>
        </w:rPr>
        <w:sectPr>
          <w:footerReference r:id="rId11" w:type="first"/>
          <w:footerReference r:id="rId10"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start="1"/>
          <w:cols w:space="425" w:num="1"/>
          <w:titlePg/>
          <w:docGrid w:type="lines" w:linePitch="312" w:charSpace="0"/>
        </w:sectPr>
      </w:pPr>
      <w:bookmarkStart w:id="70" w:name="_GoBack"/>
      <w:bookmarkEnd w:id="70"/>
    </w:p>
    <w:p w14:paraId="6D910535">
      <w:pPr>
        <w:pStyle w:val="7"/>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rPr>
          <w:rFonts w:hint="eastAsia" w:ascii="Times New Roman" w:hAnsi="Times New Roman" w:eastAsia="黑体" w:cs="黑体"/>
          <w:color w:val="auto"/>
          <w:kern w:val="0"/>
          <w:sz w:val="32"/>
          <w:szCs w:val="32"/>
          <w:highlight w:val="none"/>
          <w:shd w:val="clear" w:color="auto" w:fill="FFFFFF"/>
          <w:lang w:val="zh-CN"/>
        </w:rPr>
      </w:pPr>
      <w:r>
        <w:rPr>
          <w:rFonts w:hint="eastAsia" w:ascii="Times New Roman" w:hAnsi="Times New Roman" w:eastAsia="仿宋_GB2312" w:cs="Times New Roman"/>
          <w:kern w:val="2"/>
          <w:sz w:val="32"/>
          <w:szCs w:val="32"/>
          <w:u w:val="none"/>
          <w:lang w:val="zh-CN" w:eastAsia="zh-CN" w:bidi="ar"/>
        </w:rPr>
        <w:t>附表：</w:t>
      </w:r>
      <w:r>
        <w:rPr>
          <w:rFonts w:hint="eastAsia" w:ascii="Times New Roman" w:hAnsi="Times New Roman" w:eastAsia="仿宋_GB2312" w:cs="Times New Roman"/>
          <w:kern w:val="2"/>
          <w:sz w:val="32"/>
          <w:szCs w:val="32"/>
          <w:u w:val="none"/>
          <w:lang w:val="en-US" w:eastAsia="zh-CN" w:bidi="ar"/>
        </w:rPr>
        <w:t>部门预算项目支出绩效自评表（2024年度）</w:t>
      </w:r>
    </w:p>
    <w:tbl>
      <w:tblPr>
        <w:tblStyle w:val="15"/>
        <w:tblW w:w="141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83"/>
        <w:gridCol w:w="2045"/>
        <w:gridCol w:w="1771"/>
        <w:gridCol w:w="2259"/>
        <w:gridCol w:w="520"/>
        <w:gridCol w:w="1671"/>
        <w:gridCol w:w="520"/>
        <w:gridCol w:w="1090"/>
        <w:gridCol w:w="505"/>
        <w:gridCol w:w="486"/>
        <w:gridCol w:w="2550"/>
      </w:tblGrid>
      <w:tr w14:paraId="783622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4" w:hRule="atLeast"/>
        </w:trPr>
        <w:tc>
          <w:tcPr>
            <w:tcW w:w="14103"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0615AC09">
            <w:pPr>
              <w:keepNext w:val="0"/>
              <w:keepLines w:val="0"/>
              <w:widowControl/>
              <w:suppressLineNumbers w:val="0"/>
              <w:jc w:val="center"/>
              <w:textAlignment w:val="center"/>
              <w:rPr>
                <w:rFonts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767483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2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05387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11367"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E84324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51050021Y000000024280-单项定额基本运转支出</w:t>
            </w:r>
          </w:p>
        </w:tc>
      </w:tr>
      <w:tr w14:paraId="5FF230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2" w:hRule="atLeast"/>
        </w:trPr>
        <w:tc>
          <w:tcPr>
            <w:tcW w:w="2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CAD52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675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3B9522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市政法部门</w:t>
            </w:r>
          </w:p>
        </w:tc>
        <w:tc>
          <w:tcPr>
            <w:tcW w:w="1091" w:type="dxa"/>
            <w:tcBorders>
              <w:top w:val="nil"/>
              <w:left w:val="nil"/>
              <w:bottom w:val="nil"/>
              <w:right w:val="nil"/>
            </w:tcBorders>
            <w:shd w:val="clear" w:color="auto" w:fill="auto"/>
            <w:vAlign w:val="center"/>
          </w:tcPr>
          <w:p w14:paraId="5EDFC578">
            <w:pPr>
              <w:keepNext w:val="0"/>
              <w:keepLines w:val="0"/>
              <w:widowControl/>
              <w:suppressLineNumbers w:val="0"/>
              <w:jc w:val="left"/>
              <w:textAlignment w:val="center"/>
              <w:rPr>
                <w:rFonts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1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1695BA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中国共产党泸州市委员会政法委员会</w:t>
            </w:r>
          </w:p>
        </w:tc>
      </w:tr>
      <w:tr w14:paraId="0CD377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AF34E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20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C39D0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675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AB41E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60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EA8168F">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62A41B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8"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06E7E9">
            <w:pP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9835B0">
            <w:pPr>
              <w:rPr>
                <w:rFonts w:hint="eastAsia" w:ascii="宋体" w:hAnsi="宋体" w:eastAsia="宋体" w:cs="宋体"/>
                <w:i w:val="0"/>
                <w:iCs w:val="0"/>
                <w:color w:val="000000"/>
                <w:sz w:val="18"/>
                <w:szCs w:val="18"/>
                <w:u w:val="none"/>
              </w:rPr>
            </w:pPr>
          </w:p>
        </w:tc>
        <w:tc>
          <w:tcPr>
            <w:tcW w:w="675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76771B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提高预算编制质量，严格执行预算，保障单位日常运转。</w:t>
            </w:r>
          </w:p>
        </w:tc>
        <w:tc>
          <w:tcPr>
            <w:tcW w:w="460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296965D">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对照年度目标，说明相关任务目标的完成情况（100字以内）</w:t>
            </w:r>
          </w:p>
        </w:tc>
      </w:tr>
      <w:tr w14:paraId="49A529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3"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965778">
            <w:pP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9BBB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11367"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6BF7227">
            <w:pPr>
              <w:rPr>
                <w:rFonts w:hint="eastAsia" w:ascii="宋体" w:hAnsi="宋体" w:eastAsia="宋体" w:cs="宋体"/>
                <w:i w:val="0"/>
                <w:iCs w:val="0"/>
                <w:color w:val="000000"/>
                <w:sz w:val="18"/>
                <w:szCs w:val="18"/>
                <w:u w:val="none"/>
              </w:rPr>
            </w:pPr>
          </w:p>
        </w:tc>
      </w:tr>
      <w:tr w14:paraId="6E1A6B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1"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7E4CD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12F4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1877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60E9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B3A2BE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C331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F853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88ED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1010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1B6A8F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6"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02632D">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8F3C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B58E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23.28</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E333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23.28</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BE7F3B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21.14</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46FB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90.81%</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48E1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C652E">
            <w:pPr>
              <w:jc w:val="center"/>
              <w:rPr>
                <w:rFonts w:hint="eastAsia" w:ascii="宋体" w:hAnsi="宋体" w:eastAsia="宋体" w:cs="宋体"/>
                <w:i w:val="0"/>
                <w:iCs w:val="0"/>
                <w:color w:val="000000"/>
                <w:sz w:val="18"/>
                <w:szCs w:val="18"/>
                <w:u w:val="none"/>
              </w:rPr>
            </w:pPr>
          </w:p>
        </w:tc>
        <w:tc>
          <w:tcPr>
            <w:tcW w:w="25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521553">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5A7F4B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1"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A91090">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9F2B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EBB6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23.28</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B818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23.28</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5A28CF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21.14</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B3C4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90.81%</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49FE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D7DE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B7C73C">
            <w:pPr>
              <w:rPr>
                <w:rFonts w:hint="eastAsia" w:ascii="黑体" w:hAnsi="黑体" w:eastAsia="黑体" w:cs="黑体"/>
                <w:i/>
                <w:iCs/>
                <w:color w:val="000000"/>
                <w:sz w:val="18"/>
                <w:szCs w:val="18"/>
                <w:u w:val="none"/>
              </w:rPr>
            </w:pPr>
          </w:p>
        </w:tc>
      </w:tr>
      <w:tr w14:paraId="08DEC7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CCE614">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4692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69CE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BFFC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D379DD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BDBF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64C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C947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2D7F65">
            <w:pPr>
              <w:rPr>
                <w:rFonts w:hint="eastAsia" w:ascii="黑体" w:hAnsi="黑体" w:eastAsia="黑体" w:cs="黑体"/>
                <w:i/>
                <w:iCs/>
                <w:color w:val="000000"/>
                <w:sz w:val="18"/>
                <w:szCs w:val="18"/>
                <w:u w:val="none"/>
              </w:rPr>
            </w:pPr>
          </w:p>
        </w:tc>
      </w:tr>
      <w:tr w14:paraId="430CC8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1"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AF4017">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BCF7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2626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BC3D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A59EA1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544F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98F9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38C1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CC74E6">
            <w:pPr>
              <w:rPr>
                <w:rFonts w:hint="eastAsia" w:ascii="黑体" w:hAnsi="黑体" w:eastAsia="黑体" w:cs="黑体"/>
                <w:i/>
                <w:iCs/>
                <w:color w:val="000000"/>
                <w:sz w:val="18"/>
                <w:szCs w:val="18"/>
                <w:u w:val="none"/>
              </w:rPr>
            </w:pPr>
          </w:p>
        </w:tc>
      </w:tr>
      <w:tr w14:paraId="0FC18A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659901">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2556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AEEDF">
            <w:pPr>
              <w:jc w:val="center"/>
              <w:rPr>
                <w:rFonts w:hint="eastAsia" w:ascii="微软雅黑" w:hAnsi="微软雅黑" w:eastAsia="微软雅黑" w:cs="微软雅黑"/>
                <w:i/>
                <w:iCs/>
                <w:color w:val="000000"/>
                <w:sz w:val="16"/>
                <w:szCs w:val="16"/>
                <w:u w:val="none"/>
              </w:rPr>
            </w:pP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8338A">
            <w:pPr>
              <w:jc w:val="center"/>
              <w:rPr>
                <w:rFonts w:hint="eastAsia" w:ascii="微软雅黑" w:hAnsi="微软雅黑" w:eastAsia="微软雅黑" w:cs="微软雅黑"/>
                <w:i/>
                <w:iCs/>
                <w:color w:val="000000"/>
                <w:sz w:val="16"/>
                <w:szCs w:val="16"/>
                <w:u w:val="none"/>
              </w:rPr>
            </w:pP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8011EA9">
            <w:pPr>
              <w:jc w:val="center"/>
              <w:rPr>
                <w:rFonts w:hint="eastAsia" w:ascii="微软雅黑" w:hAnsi="微软雅黑" w:eastAsia="微软雅黑" w:cs="微软雅黑"/>
                <w:i/>
                <w:iCs/>
                <w:color w:val="000000"/>
                <w:sz w:val="16"/>
                <w:szCs w:val="16"/>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45F5E">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7885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DF6D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EBE37E">
            <w:pPr>
              <w:rPr>
                <w:rFonts w:hint="eastAsia" w:ascii="黑体" w:hAnsi="黑体" w:eastAsia="黑体" w:cs="黑体"/>
                <w:i/>
                <w:iCs/>
                <w:color w:val="000000"/>
                <w:sz w:val="18"/>
                <w:szCs w:val="18"/>
                <w:u w:val="none"/>
              </w:rPr>
            </w:pPr>
          </w:p>
        </w:tc>
      </w:tr>
      <w:tr w14:paraId="4C25C3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28399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4713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1E89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6B2B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5C00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A741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66B9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D91B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FEE9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480F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1CFC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4DE714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7CFFDA">
            <w:pPr>
              <w:jc w:val="center"/>
              <w:rPr>
                <w:rFonts w:hint="eastAsia" w:ascii="宋体" w:hAnsi="宋体" w:eastAsia="宋体" w:cs="宋体"/>
                <w:i w:val="0"/>
                <w:iCs w:val="0"/>
                <w:color w:val="000000"/>
                <w:sz w:val="18"/>
                <w:szCs w:val="18"/>
                <w:u w:val="none"/>
              </w:rPr>
            </w:pPr>
          </w:p>
        </w:tc>
        <w:tc>
          <w:tcPr>
            <w:tcW w:w="20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A5445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1021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B3E3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科目调整次数</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CAA3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B050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412C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F448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2818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7D2C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72753">
            <w:pPr>
              <w:jc w:val="center"/>
              <w:rPr>
                <w:rFonts w:hint="eastAsia" w:ascii="微软雅黑" w:hAnsi="微软雅黑" w:eastAsia="微软雅黑" w:cs="微软雅黑"/>
                <w:i/>
                <w:iCs/>
                <w:color w:val="000000"/>
                <w:sz w:val="16"/>
                <w:szCs w:val="16"/>
                <w:u w:val="none"/>
              </w:rPr>
            </w:pPr>
          </w:p>
        </w:tc>
      </w:tr>
      <w:tr w14:paraId="200C41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8"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46FF4E">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A90887">
            <w:pPr>
              <w:jc w:val="center"/>
              <w:rPr>
                <w:rFonts w:hint="eastAsia" w:ascii="宋体" w:hAnsi="宋体" w:eastAsia="宋体" w:cs="宋体"/>
                <w:i w:val="0"/>
                <w:iCs w:val="0"/>
                <w:color w:val="000000"/>
                <w:sz w:val="18"/>
                <w:szCs w:val="18"/>
                <w:u w:val="none"/>
              </w:rPr>
            </w:pP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392A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27D5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预算编制准确率（计算方法为：∣（执行数-预算数）/预算数∣）</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B7B6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94CC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EC92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255B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DE49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7393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9261C">
            <w:pPr>
              <w:jc w:val="center"/>
              <w:rPr>
                <w:rFonts w:hint="eastAsia" w:ascii="微软雅黑" w:hAnsi="微软雅黑" w:eastAsia="微软雅黑" w:cs="微软雅黑"/>
                <w:i/>
                <w:iCs/>
                <w:color w:val="000000"/>
                <w:sz w:val="16"/>
                <w:szCs w:val="16"/>
                <w:u w:val="none"/>
              </w:rPr>
            </w:pPr>
          </w:p>
        </w:tc>
      </w:tr>
      <w:tr w14:paraId="2DDDCC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4"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604CEB">
            <w:pPr>
              <w:jc w:val="center"/>
              <w:rPr>
                <w:rFonts w:hint="eastAsia" w:ascii="宋体" w:hAnsi="宋体" w:eastAsia="宋体" w:cs="宋体"/>
                <w:i w:val="0"/>
                <w:iCs w:val="0"/>
                <w:color w:val="000000"/>
                <w:sz w:val="18"/>
                <w:szCs w:val="18"/>
                <w:u w:val="none"/>
              </w:rPr>
            </w:pPr>
          </w:p>
        </w:tc>
        <w:tc>
          <w:tcPr>
            <w:tcW w:w="20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4E962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C58D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经济效益指标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994F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“三公经费”控制率[计算方法为：（三公经费实际支出数/预算安排数]×100%）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E90D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C3A0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23CC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DD39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771F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2764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44973">
            <w:pPr>
              <w:jc w:val="center"/>
              <w:rPr>
                <w:rFonts w:hint="eastAsia" w:ascii="微软雅黑" w:hAnsi="微软雅黑" w:eastAsia="微软雅黑" w:cs="微软雅黑"/>
                <w:i/>
                <w:iCs/>
                <w:color w:val="000000"/>
                <w:sz w:val="16"/>
                <w:szCs w:val="16"/>
                <w:u w:val="none"/>
              </w:rPr>
            </w:pPr>
          </w:p>
        </w:tc>
      </w:tr>
      <w:tr w14:paraId="2A0B6D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BC7483">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BE549A">
            <w:pPr>
              <w:jc w:val="center"/>
              <w:rPr>
                <w:rFonts w:hint="eastAsia" w:ascii="宋体" w:hAnsi="宋体" w:eastAsia="宋体" w:cs="宋体"/>
                <w:i w:val="0"/>
                <w:iCs w:val="0"/>
                <w:color w:val="000000"/>
                <w:sz w:val="18"/>
                <w:szCs w:val="18"/>
                <w:u w:val="none"/>
              </w:rPr>
            </w:pP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7801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1C6C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运转保障率</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4040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4AD0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B23D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8F4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CDCC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2336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A88AC">
            <w:pPr>
              <w:jc w:val="center"/>
              <w:rPr>
                <w:rFonts w:hint="eastAsia" w:ascii="微软雅黑" w:hAnsi="微软雅黑" w:eastAsia="微软雅黑" w:cs="微软雅黑"/>
                <w:i/>
                <w:iCs/>
                <w:color w:val="000000"/>
                <w:sz w:val="16"/>
                <w:szCs w:val="16"/>
                <w:u w:val="none"/>
              </w:rPr>
            </w:pPr>
          </w:p>
        </w:tc>
      </w:tr>
      <w:tr w14:paraId="6A3C80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1058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2A24BF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BAA2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81EB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69D9B">
            <w:pPr>
              <w:rPr>
                <w:rFonts w:hint="eastAsia" w:ascii="宋体" w:hAnsi="宋体" w:eastAsia="宋体" w:cs="宋体"/>
                <w:i w:val="0"/>
                <w:iCs w:val="0"/>
                <w:color w:val="000000"/>
                <w:sz w:val="18"/>
                <w:szCs w:val="18"/>
                <w:u w:val="none"/>
              </w:rPr>
            </w:pPr>
          </w:p>
        </w:tc>
      </w:tr>
      <w:tr w14:paraId="127C30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63BD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134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89C936C">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结合自评情况，说明项目自评总分，说明项目实施取得的成效或成果。（200字以内）</w:t>
            </w:r>
          </w:p>
        </w:tc>
      </w:tr>
      <w:tr w14:paraId="4DA08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2"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85B4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134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DCA7B31">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结合自评情况，分析存在的问题及原因。（200字以内）</w:t>
            </w:r>
          </w:p>
        </w:tc>
      </w:tr>
      <w:tr w14:paraId="24046F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4089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134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EBA43D4">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针对项目自评中发现的问题，提出下一步改进完善的意见及有关政策性建议。（200字以内）</w:t>
            </w:r>
          </w:p>
        </w:tc>
      </w:tr>
      <w:tr w14:paraId="3E54BE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729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E9188C7">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项目负责人：赵兴梅</w:t>
            </w:r>
          </w:p>
        </w:tc>
        <w:tc>
          <w:tcPr>
            <w:tcW w:w="680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30126B5">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财务负责人：王良洪</w:t>
            </w:r>
          </w:p>
        </w:tc>
      </w:tr>
      <w:tr w14:paraId="1892F0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684" w:type="dxa"/>
            <w:tcBorders>
              <w:top w:val="nil"/>
              <w:left w:val="nil"/>
              <w:bottom w:val="nil"/>
              <w:right w:val="nil"/>
            </w:tcBorders>
            <w:shd w:val="clear" w:color="auto" w:fill="auto"/>
            <w:vAlign w:val="center"/>
          </w:tcPr>
          <w:p w14:paraId="4F80508D">
            <w:pPr>
              <w:rPr>
                <w:rFonts w:hint="eastAsia" w:ascii="宋体" w:hAnsi="宋体" w:eastAsia="宋体" w:cs="宋体"/>
                <w:i w:val="0"/>
                <w:iCs w:val="0"/>
                <w:color w:val="000000"/>
                <w:sz w:val="18"/>
                <w:szCs w:val="18"/>
                <w:u w:val="none"/>
              </w:rPr>
            </w:pPr>
          </w:p>
        </w:tc>
        <w:tc>
          <w:tcPr>
            <w:tcW w:w="2052" w:type="dxa"/>
            <w:tcBorders>
              <w:top w:val="nil"/>
              <w:left w:val="nil"/>
              <w:bottom w:val="nil"/>
              <w:right w:val="nil"/>
            </w:tcBorders>
            <w:shd w:val="clear" w:color="auto" w:fill="auto"/>
            <w:vAlign w:val="center"/>
          </w:tcPr>
          <w:p w14:paraId="2275D20B">
            <w:pPr>
              <w:rPr>
                <w:rFonts w:hint="eastAsia" w:ascii="宋体" w:hAnsi="宋体" w:eastAsia="宋体" w:cs="宋体"/>
                <w:i w:val="0"/>
                <w:iCs w:val="0"/>
                <w:color w:val="000000"/>
                <w:sz w:val="18"/>
                <w:szCs w:val="18"/>
                <w:u w:val="none"/>
              </w:rPr>
            </w:pPr>
          </w:p>
          <w:p w14:paraId="722F7F06">
            <w:pPr>
              <w:rPr>
                <w:rFonts w:hint="eastAsia" w:ascii="宋体" w:hAnsi="宋体" w:eastAsia="宋体" w:cs="宋体"/>
                <w:i w:val="0"/>
                <w:iCs w:val="0"/>
                <w:color w:val="000000"/>
                <w:sz w:val="18"/>
                <w:szCs w:val="18"/>
                <w:u w:val="none"/>
              </w:rPr>
            </w:pPr>
          </w:p>
          <w:p w14:paraId="5B990A9E">
            <w:pPr>
              <w:rPr>
                <w:rFonts w:hint="eastAsia" w:ascii="宋体" w:hAnsi="宋体" w:eastAsia="宋体" w:cs="宋体"/>
                <w:i w:val="0"/>
                <w:iCs w:val="0"/>
                <w:color w:val="000000"/>
                <w:sz w:val="18"/>
                <w:szCs w:val="18"/>
                <w:u w:val="none"/>
              </w:rPr>
            </w:pPr>
          </w:p>
          <w:p w14:paraId="7C5120F2">
            <w:pPr>
              <w:rPr>
                <w:rFonts w:hint="eastAsia" w:ascii="宋体" w:hAnsi="宋体" w:eastAsia="宋体" w:cs="宋体"/>
                <w:i w:val="0"/>
                <w:iCs w:val="0"/>
                <w:color w:val="000000"/>
                <w:sz w:val="18"/>
                <w:szCs w:val="18"/>
                <w:u w:val="none"/>
              </w:rPr>
            </w:pPr>
          </w:p>
          <w:p w14:paraId="6F353824">
            <w:pPr>
              <w:rPr>
                <w:rFonts w:hint="eastAsia" w:ascii="宋体" w:hAnsi="宋体" w:eastAsia="宋体" w:cs="宋体"/>
                <w:i w:val="0"/>
                <w:iCs w:val="0"/>
                <w:color w:val="000000"/>
                <w:sz w:val="18"/>
                <w:szCs w:val="18"/>
                <w:u w:val="none"/>
              </w:rPr>
            </w:pPr>
          </w:p>
        </w:tc>
        <w:tc>
          <w:tcPr>
            <w:tcW w:w="1775" w:type="dxa"/>
            <w:tcBorders>
              <w:top w:val="nil"/>
              <w:left w:val="nil"/>
              <w:bottom w:val="nil"/>
              <w:right w:val="nil"/>
            </w:tcBorders>
            <w:shd w:val="clear" w:color="auto" w:fill="auto"/>
            <w:vAlign w:val="center"/>
          </w:tcPr>
          <w:p w14:paraId="618B20C3">
            <w:pPr>
              <w:rPr>
                <w:rFonts w:hint="eastAsia" w:ascii="宋体" w:hAnsi="宋体" w:eastAsia="宋体" w:cs="宋体"/>
                <w:i w:val="0"/>
                <w:iCs w:val="0"/>
                <w:color w:val="000000"/>
                <w:sz w:val="18"/>
                <w:szCs w:val="18"/>
                <w:u w:val="none"/>
              </w:rPr>
            </w:pPr>
          </w:p>
        </w:tc>
        <w:tc>
          <w:tcPr>
            <w:tcW w:w="2264" w:type="dxa"/>
            <w:tcBorders>
              <w:top w:val="nil"/>
              <w:left w:val="nil"/>
              <w:bottom w:val="nil"/>
              <w:right w:val="nil"/>
            </w:tcBorders>
            <w:shd w:val="clear" w:color="auto" w:fill="auto"/>
            <w:vAlign w:val="center"/>
          </w:tcPr>
          <w:p w14:paraId="1301F387">
            <w:pPr>
              <w:rPr>
                <w:rFonts w:hint="eastAsia" w:ascii="宋体" w:hAnsi="宋体" w:eastAsia="宋体" w:cs="宋体"/>
                <w:i w:val="0"/>
                <w:iCs w:val="0"/>
                <w:color w:val="000000"/>
                <w:sz w:val="18"/>
                <w:szCs w:val="18"/>
                <w:u w:val="none"/>
              </w:rPr>
            </w:pPr>
          </w:p>
        </w:tc>
        <w:tc>
          <w:tcPr>
            <w:tcW w:w="521" w:type="dxa"/>
            <w:tcBorders>
              <w:top w:val="nil"/>
              <w:left w:val="nil"/>
              <w:bottom w:val="nil"/>
              <w:right w:val="nil"/>
            </w:tcBorders>
            <w:shd w:val="clear" w:color="auto" w:fill="auto"/>
            <w:vAlign w:val="center"/>
          </w:tcPr>
          <w:p w14:paraId="3647A1B3">
            <w:pPr>
              <w:rPr>
                <w:rFonts w:hint="eastAsia" w:ascii="宋体" w:hAnsi="宋体" w:eastAsia="宋体" w:cs="宋体"/>
                <w:i w:val="0"/>
                <w:iCs w:val="0"/>
                <w:color w:val="000000"/>
                <w:sz w:val="18"/>
                <w:szCs w:val="18"/>
                <w:u w:val="none"/>
              </w:rPr>
            </w:pPr>
          </w:p>
        </w:tc>
        <w:tc>
          <w:tcPr>
            <w:tcW w:w="1677" w:type="dxa"/>
            <w:tcBorders>
              <w:top w:val="nil"/>
              <w:left w:val="nil"/>
              <w:bottom w:val="nil"/>
              <w:right w:val="nil"/>
            </w:tcBorders>
            <w:shd w:val="clear" w:color="auto" w:fill="auto"/>
            <w:vAlign w:val="center"/>
          </w:tcPr>
          <w:p w14:paraId="4FEA1090">
            <w:pPr>
              <w:rPr>
                <w:rFonts w:hint="eastAsia" w:ascii="宋体" w:hAnsi="宋体" w:eastAsia="宋体" w:cs="宋体"/>
                <w:i w:val="0"/>
                <w:iCs w:val="0"/>
                <w:color w:val="000000"/>
                <w:sz w:val="18"/>
                <w:szCs w:val="18"/>
                <w:u w:val="none"/>
              </w:rPr>
            </w:pPr>
          </w:p>
        </w:tc>
        <w:tc>
          <w:tcPr>
            <w:tcW w:w="521" w:type="dxa"/>
            <w:tcBorders>
              <w:top w:val="nil"/>
              <w:left w:val="nil"/>
              <w:bottom w:val="nil"/>
              <w:right w:val="nil"/>
            </w:tcBorders>
            <w:shd w:val="clear" w:color="auto" w:fill="auto"/>
            <w:vAlign w:val="center"/>
          </w:tcPr>
          <w:p w14:paraId="14B821B6">
            <w:pPr>
              <w:rPr>
                <w:rFonts w:hint="eastAsia" w:ascii="宋体" w:hAnsi="宋体" w:eastAsia="宋体" w:cs="宋体"/>
                <w:i w:val="0"/>
                <w:iCs w:val="0"/>
                <w:color w:val="000000"/>
                <w:sz w:val="18"/>
                <w:szCs w:val="18"/>
                <w:u w:val="none"/>
              </w:rPr>
            </w:pPr>
          </w:p>
        </w:tc>
        <w:tc>
          <w:tcPr>
            <w:tcW w:w="1091" w:type="dxa"/>
            <w:tcBorders>
              <w:top w:val="nil"/>
              <w:left w:val="nil"/>
              <w:bottom w:val="nil"/>
              <w:right w:val="nil"/>
            </w:tcBorders>
            <w:shd w:val="clear" w:color="auto" w:fill="auto"/>
            <w:vAlign w:val="center"/>
          </w:tcPr>
          <w:p w14:paraId="35CC451E">
            <w:pPr>
              <w:rPr>
                <w:rFonts w:hint="eastAsia" w:ascii="宋体" w:hAnsi="宋体" w:eastAsia="宋体" w:cs="宋体"/>
                <w:i w:val="0"/>
                <w:iCs w:val="0"/>
                <w:color w:val="000000"/>
                <w:sz w:val="18"/>
                <w:szCs w:val="18"/>
                <w:u w:val="none"/>
              </w:rPr>
            </w:pPr>
          </w:p>
        </w:tc>
        <w:tc>
          <w:tcPr>
            <w:tcW w:w="505" w:type="dxa"/>
            <w:tcBorders>
              <w:top w:val="nil"/>
              <w:left w:val="nil"/>
              <w:bottom w:val="nil"/>
              <w:right w:val="nil"/>
            </w:tcBorders>
            <w:shd w:val="clear" w:color="auto" w:fill="auto"/>
            <w:vAlign w:val="center"/>
          </w:tcPr>
          <w:p w14:paraId="13FEF59B">
            <w:pPr>
              <w:rPr>
                <w:rFonts w:hint="eastAsia" w:ascii="宋体" w:hAnsi="宋体" w:eastAsia="宋体" w:cs="宋体"/>
                <w:i w:val="0"/>
                <w:iCs w:val="0"/>
                <w:color w:val="000000"/>
                <w:sz w:val="18"/>
                <w:szCs w:val="18"/>
                <w:u w:val="none"/>
              </w:rPr>
            </w:pPr>
          </w:p>
        </w:tc>
        <w:tc>
          <w:tcPr>
            <w:tcW w:w="456" w:type="dxa"/>
            <w:tcBorders>
              <w:top w:val="nil"/>
              <w:left w:val="nil"/>
              <w:bottom w:val="nil"/>
              <w:right w:val="nil"/>
            </w:tcBorders>
            <w:shd w:val="clear" w:color="auto" w:fill="auto"/>
            <w:vAlign w:val="center"/>
          </w:tcPr>
          <w:p w14:paraId="550F5304">
            <w:pPr>
              <w:rPr>
                <w:rFonts w:hint="eastAsia" w:ascii="宋体" w:hAnsi="宋体" w:eastAsia="宋体" w:cs="宋体"/>
                <w:i w:val="0"/>
                <w:iCs w:val="0"/>
                <w:color w:val="000000"/>
                <w:sz w:val="18"/>
                <w:szCs w:val="18"/>
                <w:u w:val="none"/>
              </w:rPr>
            </w:pPr>
          </w:p>
        </w:tc>
        <w:tc>
          <w:tcPr>
            <w:tcW w:w="2557" w:type="dxa"/>
            <w:tcBorders>
              <w:top w:val="nil"/>
              <w:left w:val="nil"/>
              <w:bottom w:val="nil"/>
              <w:right w:val="nil"/>
            </w:tcBorders>
            <w:shd w:val="clear" w:color="auto" w:fill="auto"/>
            <w:vAlign w:val="center"/>
          </w:tcPr>
          <w:p w14:paraId="352DBDA7">
            <w:pPr>
              <w:rPr>
                <w:rFonts w:hint="eastAsia" w:ascii="宋体" w:hAnsi="宋体" w:eastAsia="宋体" w:cs="宋体"/>
                <w:i w:val="0"/>
                <w:iCs w:val="0"/>
                <w:color w:val="000000"/>
                <w:sz w:val="18"/>
                <w:szCs w:val="18"/>
                <w:u w:val="none"/>
              </w:rPr>
            </w:pPr>
          </w:p>
        </w:tc>
      </w:tr>
      <w:tr w14:paraId="5B1E31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4" w:hRule="atLeast"/>
        </w:trPr>
        <w:tc>
          <w:tcPr>
            <w:tcW w:w="14103"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74492131">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4D0133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2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F81F2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11367"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120C40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51050021Y000000024281-综合定额基本运转支出</w:t>
            </w:r>
          </w:p>
        </w:tc>
      </w:tr>
      <w:tr w14:paraId="223600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2" w:hRule="atLeast"/>
        </w:trPr>
        <w:tc>
          <w:tcPr>
            <w:tcW w:w="2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8D098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675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DC02EE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市政法部门</w:t>
            </w:r>
          </w:p>
        </w:tc>
        <w:tc>
          <w:tcPr>
            <w:tcW w:w="1091" w:type="dxa"/>
            <w:tcBorders>
              <w:top w:val="nil"/>
              <w:left w:val="nil"/>
              <w:bottom w:val="nil"/>
              <w:right w:val="nil"/>
            </w:tcBorders>
            <w:shd w:val="clear" w:color="auto" w:fill="auto"/>
            <w:vAlign w:val="center"/>
          </w:tcPr>
          <w:p w14:paraId="510566E3">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1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2FDD58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中国共产党泸州市委员会政法委员会</w:t>
            </w:r>
          </w:p>
        </w:tc>
      </w:tr>
      <w:tr w14:paraId="08B7A7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5FC4A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20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DE619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675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89590C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60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70A8434">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0E3F5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8"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4D9681">
            <w:pP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71C941">
            <w:pPr>
              <w:rPr>
                <w:rFonts w:hint="eastAsia" w:ascii="宋体" w:hAnsi="宋体" w:eastAsia="宋体" w:cs="宋体"/>
                <w:i w:val="0"/>
                <w:iCs w:val="0"/>
                <w:color w:val="000000"/>
                <w:sz w:val="18"/>
                <w:szCs w:val="18"/>
                <w:u w:val="none"/>
              </w:rPr>
            </w:pPr>
          </w:p>
        </w:tc>
        <w:tc>
          <w:tcPr>
            <w:tcW w:w="675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50FD22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提高预算编制质量，严格执行预算，保障单位日常运转。</w:t>
            </w:r>
          </w:p>
        </w:tc>
        <w:tc>
          <w:tcPr>
            <w:tcW w:w="460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05FF027">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对照年度目标，说明相关任务目标的完成情况（100字以内）</w:t>
            </w:r>
          </w:p>
        </w:tc>
      </w:tr>
      <w:tr w14:paraId="183E86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3"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015732">
            <w:pP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8730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11367"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195151D">
            <w:pPr>
              <w:rPr>
                <w:rFonts w:hint="eastAsia" w:ascii="宋体" w:hAnsi="宋体" w:eastAsia="宋体" w:cs="宋体"/>
                <w:i w:val="0"/>
                <w:iCs w:val="0"/>
                <w:color w:val="000000"/>
                <w:sz w:val="18"/>
                <w:szCs w:val="18"/>
                <w:u w:val="none"/>
              </w:rPr>
            </w:pPr>
          </w:p>
        </w:tc>
      </w:tr>
      <w:tr w14:paraId="020DB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1"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B6874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A3D1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7AE7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57C7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5F1B58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4EC4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F42A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B465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7568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33E39F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6"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780E94">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9C1C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A6A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306.00</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2888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304.50</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F3347C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261.57</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4C99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85.90%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D0A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63255">
            <w:pPr>
              <w:jc w:val="center"/>
              <w:rPr>
                <w:rFonts w:hint="eastAsia" w:ascii="宋体" w:hAnsi="宋体" w:eastAsia="宋体" w:cs="宋体"/>
                <w:i w:val="0"/>
                <w:iCs w:val="0"/>
                <w:color w:val="000000"/>
                <w:sz w:val="18"/>
                <w:szCs w:val="18"/>
                <w:u w:val="none"/>
              </w:rPr>
            </w:pPr>
          </w:p>
        </w:tc>
        <w:tc>
          <w:tcPr>
            <w:tcW w:w="25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4A5A24">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1FA0CE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1"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8DC5F2">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67B0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2F40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306.00</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C739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304.50</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5A044F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261.57</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E281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85.90%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74D0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2B3D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F18447">
            <w:pPr>
              <w:rPr>
                <w:rFonts w:hint="eastAsia" w:ascii="黑体" w:hAnsi="黑体" w:eastAsia="黑体" w:cs="黑体"/>
                <w:i/>
                <w:iCs/>
                <w:color w:val="000000"/>
                <w:sz w:val="18"/>
                <w:szCs w:val="18"/>
                <w:u w:val="none"/>
              </w:rPr>
            </w:pPr>
          </w:p>
        </w:tc>
      </w:tr>
      <w:tr w14:paraId="4B9021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357DA5">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55FF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3A20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959F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00F017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6793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CBE6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021B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F9F0BF">
            <w:pPr>
              <w:rPr>
                <w:rFonts w:hint="eastAsia" w:ascii="黑体" w:hAnsi="黑体" w:eastAsia="黑体" w:cs="黑体"/>
                <w:i/>
                <w:iCs/>
                <w:color w:val="000000"/>
                <w:sz w:val="18"/>
                <w:szCs w:val="18"/>
                <w:u w:val="none"/>
              </w:rPr>
            </w:pPr>
          </w:p>
        </w:tc>
      </w:tr>
      <w:tr w14:paraId="0DEBF7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1"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02A03A">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3336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F094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5B34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1F3D5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260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79F9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9F5A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6EC277">
            <w:pPr>
              <w:rPr>
                <w:rFonts w:hint="eastAsia" w:ascii="黑体" w:hAnsi="黑体" w:eastAsia="黑体" w:cs="黑体"/>
                <w:i/>
                <w:iCs/>
                <w:color w:val="000000"/>
                <w:sz w:val="18"/>
                <w:szCs w:val="18"/>
                <w:u w:val="none"/>
              </w:rPr>
            </w:pPr>
          </w:p>
        </w:tc>
      </w:tr>
      <w:tr w14:paraId="77B49A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9A5C97">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0EE9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C068F">
            <w:pPr>
              <w:jc w:val="center"/>
              <w:rPr>
                <w:rFonts w:hint="eastAsia" w:ascii="微软雅黑" w:hAnsi="微软雅黑" w:eastAsia="微软雅黑" w:cs="微软雅黑"/>
                <w:i/>
                <w:iCs/>
                <w:color w:val="000000"/>
                <w:sz w:val="16"/>
                <w:szCs w:val="16"/>
                <w:u w:val="none"/>
              </w:rPr>
            </w:pP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47AEB">
            <w:pPr>
              <w:jc w:val="center"/>
              <w:rPr>
                <w:rFonts w:hint="eastAsia" w:ascii="微软雅黑" w:hAnsi="微软雅黑" w:eastAsia="微软雅黑" w:cs="微软雅黑"/>
                <w:i/>
                <w:iCs/>
                <w:color w:val="000000"/>
                <w:sz w:val="16"/>
                <w:szCs w:val="16"/>
                <w:u w:val="none"/>
              </w:rPr>
            </w:pP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5DA7B5F">
            <w:pPr>
              <w:jc w:val="center"/>
              <w:rPr>
                <w:rFonts w:hint="eastAsia" w:ascii="微软雅黑" w:hAnsi="微软雅黑" w:eastAsia="微软雅黑" w:cs="微软雅黑"/>
                <w:i/>
                <w:iCs/>
                <w:color w:val="000000"/>
                <w:sz w:val="16"/>
                <w:szCs w:val="16"/>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94666">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EFB0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71E6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43D83F">
            <w:pPr>
              <w:rPr>
                <w:rFonts w:hint="eastAsia" w:ascii="黑体" w:hAnsi="黑体" w:eastAsia="黑体" w:cs="黑体"/>
                <w:i/>
                <w:iCs/>
                <w:color w:val="000000"/>
                <w:sz w:val="18"/>
                <w:szCs w:val="18"/>
                <w:u w:val="none"/>
              </w:rPr>
            </w:pPr>
          </w:p>
        </w:tc>
      </w:tr>
      <w:tr w14:paraId="6F8FA5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7F7E1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3E4D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1DA8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565F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6030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121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C865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D421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3495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5BCF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93F5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456A24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285A49">
            <w:pPr>
              <w:jc w:val="center"/>
              <w:rPr>
                <w:rFonts w:hint="eastAsia" w:ascii="宋体" w:hAnsi="宋体" w:eastAsia="宋体" w:cs="宋体"/>
                <w:i w:val="0"/>
                <w:iCs w:val="0"/>
                <w:color w:val="000000"/>
                <w:sz w:val="18"/>
                <w:szCs w:val="18"/>
                <w:u w:val="none"/>
              </w:rPr>
            </w:pPr>
          </w:p>
        </w:tc>
        <w:tc>
          <w:tcPr>
            <w:tcW w:w="20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65974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631D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C011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科目调整次数</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E74D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3D41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8E32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5A3E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113D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D7D6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6BBD1">
            <w:pPr>
              <w:jc w:val="center"/>
              <w:rPr>
                <w:rFonts w:hint="eastAsia" w:ascii="微软雅黑" w:hAnsi="微软雅黑" w:eastAsia="微软雅黑" w:cs="微软雅黑"/>
                <w:i/>
                <w:iCs/>
                <w:color w:val="000000"/>
                <w:sz w:val="16"/>
                <w:szCs w:val="16"/>
                <w:u w:val="none"/>
              </w:rPr>
            </w:pPr>
          </w:p>
        </w:tc>
      </w:tr>
      <w:tr w14:paraId="222978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8"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B43308">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D9CF37">
            <w:pPr>
              <w:jc w:val="center"/>
              <w:rPr>
                <w:rFonts w:hint="eastAsia" w:ascii="宋体" w:hAnsi="宋体" w:eastAsia="宋体" w:cs="宋体"/>
                <w:i w:val="0"/>
                <w:iCs w:val="0"/>
                <w:color w:val="000000"/>
                <w:sz w:val="18"/>
                <w:szCs w:val="18"/>
                <w:u w:val="none"/>
              </w:rPr>
            </w:pP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149A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5C3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预算编制准确率（计算方法为：∣（执行数-预算数）/预算数∣）</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CAA8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9DD3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9345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C8F3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5678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E421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72A7E">
            <w:pPr>
              <w:jc w:val="center"/>
              <w:rPr>
                <w:rFonts w:hint="eastAsia" w:ascii="微软雅黑" w:hAnsi="微软雅黑" w:eastAsia="微软雅黑" w:cs="微软雅黑"/>
                <w:i/>
                <w:iCs/>
                <w:color w:val="000000"/>
                <w:sz w:val="16"/>
                <w:szCs w:val="16"/>
                <w:u w:val="none"/>
              </w:rPr>
            </w:pPr>
          </w:p>
        </w:tc>
      </w:tr>
      <w:tr w14:paraId="1AE00B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4"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937F45">
            <w:pPr>
              <w:jc w:val="center"/>
              <w:rPr>
                <w:rFonts w:hint="eastAsia" w:ascii="宋体" w:hAnsi="宋体" w:eastAsia="宋体" w:cs="宋体"/>
                <w:i w:val="0"/>
                <w:iCs w:val="0"/>
                <w:color w:val="000000"/>
                <w:sz w:val="18"/>
                <w:szCs w:val="18"/>
                <w:u w:val="none"/>
              </w:rPr>
            </w:pPr>
          </w:p>
        </w:tc>
        <w:tc>
          <w:tcPr>
            <w:tcW w:w="20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E0170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2611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经济效益指标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8188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“三公经费”控制率[计算方法为：（三公经费实际支出数/预算安排数]×100%）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4ED4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35F8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361F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B121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B758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058D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BDCBB">
            <w:pPr>
              <w:jc w:val="center"/>
              <w:rPr>
                <w:rFonts w:hint="eastAsia" w:ascii="微软雅黑" w:hAnsi="微软雅黑" w:eastAsia="微软雅黑" w:cs="微软雅黑"/>
                <w:i/>
                <w:iCs/>
                <w:color w:val="000000"/>
                <w:sz w:val="16"/>
                <w:szCs w:val="16"/>
                <w:u w:val="none"/>
              </w:rPr>
            </w:pPr>
          </w:p>
        </w:tc>
      </w:tr>
      <w:tr w14:paraId="296424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850D77">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052A08">
            <w:pPr>
              <w:jc w:val="center"/>
              <w:rPr>
                <w:rFonts w:hint="eastAsia" w:ascii="宋体" w:hAnsi="宋体" w:eastAsia="宋体" w:cs="宋体"/>
                <w:i w:val="0"/>
                <w:iCs w:val="0"/>
                <w:color w:val="000000"/>
                <w:sz w:val="18"/>
                <w:szCs w:val="18"/>
                <w:u w:val="none"/>
              </w:rPr>
            </w:pP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133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85EC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运转保障率</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8FFA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9D02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C70B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73B6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7B8A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9974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61079">
            <w:pPr>
              <w:jc w:val="center"/>
              <w:rPr>
                <w:rFonts w:hint="eastAsia" w:ascii="微软雅黑" w:hAnsi="微软雅黑" w:eastAsia="微软雅黑" w:cs="微软雅黑"/>
                <w:i/>
                <w:iCs/>
                <w:color w:val="000000"/>
                <w:sz w:val="16"/>
                <w:szCs w:val="16"/>
                <w:u w:val="none"/>
              </w:rPr>
            </w:pPr>
          </w:p>
        </w:tc>
      </w:tr>
      <w:tr w14:paraId="5C2EA3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1058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DE48F8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F108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012C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90CF5">
            <w:pPr>
              <w:rPr>
                <w:rFonts w:hint="eastAsia" w:ascii="宋体" w:hAnsi="宋体" w:eastAsia="宋体" w:cs="宋体"/>
                <w:i w:val="0"/>
                <w:iCs w:val="0"/>
                <w:color w:val="000000"/>
                <w:sz w:val="18"/>
                <w:szCs w:val="18"/>
                <w:u w:val="none"/>
              </w:rPr>
            </w:pPr>
          </w:p>
        </w:tc>
      </w:tr>
      <w:tr w14:paraId="64CD64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3837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134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F11F1B7">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结合自评情况，说明项目自评总分，说明项目实施取得的成效或成果。（200字以内）</w:t>
            </w:r>
          </w:p>
        </w:tc>
      </w:tr>
      <w:tr w14:paraId="728FC2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2"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9D14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134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5DD61A0">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结合自评情况，分析存在的问题及原因。（200字以内）</w:t>
            </w:r>
          </w:p>
        </w:tc>
      </w:tr>
      <w:tr w14:paraId="588642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9715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134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25CC457">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针对项目自评中发现的问题，提出下一步改进完善的意见及有关政策性建议。（200字以内）</w:t>
            </w:r>
          </w:p>
        </w:tc>
      </w:tr>
      <w:tr w14:paraId="399F46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729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A91F688">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项目负责人：赵兴梅</w:t>
            </w:r>
          </w:p>
        </w:tc>
        <w:tc>
          <w:tcPr>
            <w:tcW w:w="680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D1AD613">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财务负责人：王良洪</w:t>
            </w:r>
          </w:p>
        </w:tc>
      </w:tr>
      <w:tr w14:paraId="1B599F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684" w:type="dxa"/>
            <w:tcBorders>
              <w:top w:val="nil"/>
              <w:left w:val="nil"/>
              <w:bottom w:val="nil"/>
              <w:right w:val="nil"/>
            </w:tcBorders>
            <w:shd w:val="clear" w:color="auto" w:fill="auto"/>
            <w:vAlign w:val="center"/>
          </w:tcPr>
          <w:p w14:paraId="02544519">
            <w:pPr>
              <w:rPr>
                <w:rFonts w:hint="eastAsia" w:ascii="宋体" w:hAnsi="宋体" w:eastAsia="宋体" w:cs="宋体"/>
                <w:i w:val="0"/>
                <w:iCs w:val="0"/>
                <w:color w:val="000000"/>
                <w:sz w:val="18"/>
                <w:szCs w:val="18"/>
                <w:u w:val="none"/>
              </w:rPr>
            </w:pPr>
          </w:p>
          <w:p w14:paraId="2836CD72">
            <w:pPr>
              <w:rPr>
                <w:rFonts w:hint="eastAsia" w:ascii="宋体" w:hAnsi="宋体" w:eastAsia="宋体" w:cs="宋体"/>
                <w:i w:val="0"/>
                <w:iCs w:val="0"/>
                <w:color w:val="000000"/>
                <w:sz w:val="18"/>
                <w:szCs w:val="18"/>
                <w:u w:val="none"/>
              </w:rPr>
            </w:pPr>
          </w:p>
          <w:p w14:paraId="0FDE58F2">
            <w:pPr>
              <w:rPr>
                <w:rFonts w:hint="eastAsia" w:ascii="宋体" w:hAnsi="宋体" w:eastAsia="宋体" w:cs="宋体"/>
                <w:i w:val="0"/>
                <w:iCs w:val="0"/>
                <w:color w:val="000000"/>
                <w:sz w:val="18"/>
                <w:szCs w:val="18"/>
                <w:u w:val="none"/>
              </w:rPr>
            </w:pPr>
          </w:p>
          <w:p w14:paraId="029FDA30">
            <w:pPr>
              <w:rPr>
                <w:rFonts w:hint="eastAsia" w:ascii="宋体" w:hAnsi="宋体" w:eastAsia="宋体" w:cs="宋体"/>
                <w:i w:val="0"/>
                <w:iCs w:val="0"/>
                <w:color w:val="000000"/>
                <w:sz w:val="18"/>
                <w:szCs w:val="18"/>
                <w:u w:val="none"/>
              </w:rPr>
            </w:pPr>
          </w:p>
          <w:p w14:paraId="524D6FE8">
            <w:pPr>
              <w:rPr>
                <w:rFonts w:hint="eastAsia" w:ascii="宋体" w:hAnsi="宋体" w:eastAsia="宋体" w:cs="宋体"/>
                <w:i w:val="0"/>
                <w:iCs w:val="0"/>
                <w:color w:val="000000"/>
                <w:sz w:val="18"/>
                <w:szCs w:val="18"/>
                <w:u w:val="none"/>
              </w:rPr>
            </w:pPr>
          </w:p>
          <w:p w14:paraId="167D3B23">
            <w:pPr>
              <w:rPr>
                <w:rFonts w:hint="eastAsia" w:ascii="宋体" w:hAnsi="宋体" w:eastAsia="宋体" w:cs="宋体"/>
                <w:i w:val="0"/>
                <w:iCs w:val="0"/>
                <w:color w:val="000000"/>
                <w:sz w:val="18"/>
                <w:szCs w:val="18"/>
                <w:u w:val="none"/>
              </w:rPr>
            </w:pPr>
          </w:p>
          <w:p w14:paraId="3728D7E5">
            <w:pPr>
              <w:rPr>
                <w:rFonts w:hint="eastAsia" w:ascii="宋体" w:hAnsi="宋体" w:eastAsia="宋体" w:cs="宋体"/>
                <w:i w:val="0"/>
                <w:iCs w:val="0"/>
                <w:color w:val="000000"/>
                <w:sz w:val="18"/>
                <w:szCs w:val="18"/>
                <w:u w:val="none"/>
              </w:rPr>
            </w:pPr>
          </w:p>
          <w:p w14:paraId="50EEDBEF">
            <w:pPr>
              <w:rPr>
                <w:rFonts w:hint="eastAsia" w:ascii="宋体" w:hAnsi="宋体" w:eastAsia="宋体" w:cs="宋体"/>
                <w:i w:val="0"/>
                <w:iCs w:val="0"/>
                <w:color w:val="000000"/>
                <w:sz w:val="18"/>
                <w:szCs w:val="18"/>
                <w:u w:val="none"/>
              </w:rPr>
            </w:pPr>
          </w:p>
        </w:tc>
        <w:tc>
          <w:tcPr>
            <w:tcW w:w="2052" w:type="dxa"/>
            <w:tcBorders>
              <w:top w:val="nil"/>
              <w:left w:val="nil"/>
              <w:bottom w:val="nil"/>
              <w:right w:val="nil"/>
            </w:tcBorders>
            <w:shd w:val="clear" w:color="auto" w:fill="auto"/>
            <w:vAlign w:val="center"/>
          </w:tcPr>
          <w:p w14:paraId="2C2532DB">
            <w:pPr>
              <w:rPr>
                <w:rFonts w:hint="eastAsia" w:ascii="宋体" w:hAnsi="宋体" w:eastAsia="宋体" w:cs="宋体"/>
                <w:i w:val="0"/>
                <w:iCs w:val="0"/>
                <w:color w:val="000000"/>
                <w:sz w:val="18"/>
                <w:szCs w:val="18"/>
                <w:u w:val="none"/>
              </w:rPr>
            </w:pPr>
          </w:p>
        </w:tc>
        <w:tc>
          <w:tcPr>
            <w:tcW w:w="1775" w:type="dxa"/>
            <w:tcBorders>
              <w:top w:val="nil"/>
              <w:left w:val="nil"/>
              <w:bottom w:val="nil"/>
              <w:right w:val="nil"/>
            </w:tcBorders>
            <w:shd w:val="clear" w:color="auto" w:fill="auto"/>
            <w:vAlign w:val="center"/>
          </w:tcPr>
          <w:p w14:paraId="68E36E3B">
            <w:pPr>
              <w:rPr>
                <w:rFonts w:hint="eastAsia" w:ascii="宋体" w:hAnsi="宋体" w:eastAsia="宋体" w:cs="宋体"/>
                <w:i w:val="0"/>
                <w:iCs w:val="0"/>
                <w:color w:val="000000"/>
                <w:sz w:val="18"/>
                <w:szCs w:val="18"/>
                <w:u w:val="none"/>
              </w:rPr>
            </w:pPr>
          </w:p>
        </w:tc>
        <w:tc>
          <w:tcPr>
            <w:tcW w:w="2264" w:type="dxa"/>
            <w:tcBorders>
              <w:top w:val="nil"/>
              <w:left w:val="nil"/>
              <w:bottom w:val="nil"/>
              <w:right w:val="nil"/>
            </w:tcBorders>
            <w:shd w:val="clear" w:color="auto" w:fill="auto"/>
            <w:vAlign w:val="center"/>
          </w:tcPr>
          <w:p w14:paraId="6CA20D62">
            <w:pPr>
              <w:rPr>
                <w:rFonts w:hint="eastAsia" w:ascii="宋体" w:hAnsi="宋体" w:eastAsia="宋体" w:cs="宋体"/>
                <w:i w:val="0"/>
                <w:iCs w:val="0"/>
                <w:color w:val="000000"/>
                <w:sz w:val="18"/>
                <w:szCs w:val="18"/>
                <w:u w:val="none"/>
              </w:rPr>
            </w:pPr>
          </w:p>
        </w:tc>
        <w:tc>
          <w:tcPr>
            <w:tcW w:w="521" w:type="dxa"/>
            <w:tcBorders>
              <w:top w:val="nil"/>
              <w:left w:val="nil"/>
              <w:bottom w:val="nil"/>
              <w:right w:val="nil"/>
            </w:tcBorders>
            <w:shd w:val="clear" w:color="auto" w:fill="auto"/>
            <w:vAlign w:val="center"/>
          </w:tcPr>
          <w:p w14:paraId="7E1E7D9D">
            <w:pPr>
              <w:rPr>
                <w:rFonts w:hint="eastAsia" w:ascii="宋体" w:hAnsi="宋体" w:eastAsia="宋体" w:cs="宋体"/>
                <w:i w:val="0"/>
                <w:iCs w:val="0"/>
                <w:color w:val="000000"/>
                <w:sz w:val="18"/>
                <w:szCs w:val="18"/>
                <w:u w:val="none"/>
              </w:rPr>
            </w:pPr>
          </w:p>
        </w:tc>
        <w:tc>
          <w:tcPr>
            <w:tcW w:w="1677" w:type="dxa"/>
            <w:tcBorders>
              <w:top w:val="nil"/>
              <w:left w:val="nil"/>
              <w:bottom w:val="nil"/>
              <w:right w:val="nil"/>
            </w:tcBorders>
            <w:shd w:val="clear" w:color="auto" w:fill="auto"/>
            <w:vAlign w:val="center"/>
          </w:tcPr>
          <w:p w14:paraId="3F7D79E6">
            <w:pPr>
              <w:rPr>
                <w:rFonts w:hint="eastAsia" w:ascii="宋体" w:hAnsi="宋体" w:eastAsia="宋体" w:cs="宋体"/>
                <w:i w:val="0"/>
                <w:iCs w:val="0"/>
                <w:color w:val="000000"/>
                <w:sz w:val="18"/>
                <w:szCs w:val="18"/>
                <w:u w:val="none"/>
              </w:rPr>
            </w:pPr>
          </w:p>
        </w:tc>
        <w:tc>
          <w:tcPr>
            <w:tcW w:w="521" w:type="dxa"/>
            <w:tcBorders>
              <w:top w:val="nil"/>
              <w:left w:val="nil"/>
              <w:bottom w:val="nil"/>
              <w:right w:val="nil"/>
            </w:tcBorders>
            <w:shd w:val="clear" w:color="auto" w:fill="auto"/>
            <w:vAlign w:val="center"/>
          </w:tcPr>
          <w:p w14:paraId="0CF640DF">
            <w:pPr>
              <w:rPr>
                <w:rFonts w:hint="eastAsia" w:ascii="宋体" w:hAnsi="宋体" w:eastAsia="宋体" w:cs="宋体"/>
                <w:i w:val="0"/>
                <w:iCs w:val="0"/>
                <w:color w:val="000000"/>
                <w:sz w:val="18"/>
                <w:szCs w:val="18"/>
                <w:u w:val="none"/>
              </w:rPr>
            </w:pPr>
          </w:p>
        </w:tc>
        <w:tc>
          <w:tcPr>
            <w:tcW w:w="1091" w:type="dxa"/>
            <w:tcBorders>
              <w:top w:val="nil"/>
              <w:left w:val="nil"/>
              <w:bottom w:val="nil"/>
              <w:right w:val="nil"/>
            </w:tcBorders>
            <w:shd w:val="clear" w:color="auto" w:fill="auto"/>
            <w:vAlign w:val="center"/>
          </w:tcPr>
          <w:p w14:paraId="1D6936A0">
            <w:pPr>
              <w:rPr>
                <w:rFonts w:hint="eastAsia" w:ascii="宋体" w:hAnsi="宋体" w:eastAsia="宋体" w:cs="宋体"/>
                <w:i w:val="0"/>
                <w:iCs w:val="0"/>
                <w:color w:val="000000"/>
                <w:sz w:val="18"/>
                <w:szCs w:val="18"/>
                <w:u w:val="none"/>
              </w:rPr>
            </w:pPr>
          </w:p>
        </w:tc>
        <w:tc>
          <w:tcPr>
            <w:tcW w:w="505" w:type="dxa"/>
            <w:tcBorders>
              <w:top w:val="nil"/>
              <w:left w:val="nil"/>
              <w:bottom w:val="nil"/>
              <w:right w:val="nil"/>
            </w:tcBorders>
            <w:shd w:val="clear" w:color="auto" w:fill="auto"/>
            <w:vAlign w:val="center"/>
          </w:tcPr>
          <w:p w14:paraId="3432D37B">
            <w:pPr>
              <w:rPr>
                <w:rFonts w:hint="eastAsia" w:ascii="宋体" w:hAnsi="宋体" w:eastAsia="宋体" w:cs="宋体"/>
                <w:i w:val="0"/>
                <w:iCs w:val="0"/>
                <w:color w:val="000000"/>
                <w:sz w:val="18"/>
                <w:szCs w:val="18"/>
                <w:u w:val="none"/>
              </w:rPr>
            </w:pPr>
          </w:p>
        </w:tc>
        <w:tc>
          <w:tcPr>
            <w:tcW w:w="456" w:type="dxa"/>
            <w:tcBorders>
              <w:top w:val="nil"/>
              <w:left w:val="nil"/>
              <w:bottom w:val="nil"/>
              <w:right w:val="nil"/>
            </w:tcBorders>
            <w:shd w:val="clear" w:color="auto" w:fill="auto"/>
            <w:vAlign w:val="center"/>
          </w:tcPr>
          <w:p w14:paraId="151EAE4A">
            <w:pPr>
              <w:rPr>
                <w:rFonts w:hint="eastAsia" w:ascii="宋体" w:hAnsi="宋体" w:eastAsia="宋体" w:cs="宋体"/>
                <w:i w:val="0"/>
                <w:iCs w:val="0"/>
                <w:color w:val="000000"/>
                <w:sz w:val="18"/>
                <w:szCs w:val="18"/>
                <w:u w:val="none"/>
              </w:rPr>
            </w:pPr>
          </w:p>
        </w:tc>
        <w:tc>
          <w:tcPr>
            <w:tcW w:w="2557" w:type="dxa"/>
            <w:tcBorders>
              <w:top w:val="nil"/>
              <w:left w:val="nil"/>
              <w:bottom w:val="nil"/>
              <w:right w:val="nil"/>
            </w:tcBorders>
            <w:shd w:val="clear" w:color="auto" w:fill="auto"/>
            <w:vAlign w:val="center"/>
          </w:tcPr>
          <w:p w14:paraId="2977382A">
            <w:pPr>
              <w:rPr>
                <w:rFonts w:hint="eastAsia" w:ascii="宋体" w:hAnsi="宋体" w:eastAsia="宋体" w:cs="宋体"/>
                <w:i w:val="0"/>
                <w:iCs w:val="0"/>
                <w:color w:val="000000"/>
                <w:sz w:val="18"/>
                <w:szCs w:val="18"/>
                <w:u w:val="none"/>
              </w:rPr>
            </w:pPr>
          </w:p>
        </w:tc>
      </w:tr>
      <w:tr w14:paraId="7C43E1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4" w:hRule="atLeast"/>
        </w:trPr>
        <w:tc>
          <w:tcPr>
            <w:tcW w:w="14103"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40D8A67E">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2BE1D9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2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E088E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11367"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D6A4BF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51050022R000005120528-年初预算基本支出预留（人员支出）</w:t>
            </w:r>
          </w:p>
        </w:tc>
      </w:tr>
      <w:tr w14:paraId="0E910C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2" w:hRule="atLeast"/>
        </w:trPr>
        <w:tc>
          <w:tcPr>
            <w:tcW w:w="2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D6504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675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4ACAB6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市政法部门</w:t>
            </w:r>
          </w:p>
        </w:tc>
        <w:tc>
          <w:tcPr>
            <w:tcW w:w="1091" w:type="dxa"/>
            <w:tcBorders>
              <w:top w:val="nil"/>
              <w:left w:val="nil"/>
              <w:bottom w:val="nil"/>
              <w:right w:val="nil"/>
            </w:tcBorders>
            <w:shd w:val="clear" w:color="auto" w:fill="auto"/>
            <w:vAlign w:val="center"/>
          </w:tcPr>
          <w:p w14:paraId="62B6D957">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1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10A1B7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中国共产党泸州市委员会政法委员会</w:t>
            </w:r>
          </w:p>
        </w:tc>
      </w:tr>
      <w:tr w14:paraId="3BE62C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0B299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20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DFC37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675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842632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60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D539D2A">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5FD6DD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8"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353798">
            <w:pP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0411E9">
            <w:pPr>
              <w:rPr>
                <w:rFonts w:hint="eastAsia" w:ascii="宋体" w:hAnsi="宋体" w:eastAsia="宋体" w:cs="宋体"/>
                <w:i w:val="0"/>
                <w:iCs w:val="0"/>
                <w:color w:val="000000"/>
                <w:sz w:val="18"/>
                <w:szCs w:val="18"/>
                <w:u w:val="none"/>
              </w:rPr>
            </w:pPr>
          </w:p>
        </w:tc>
        <w:tc>
          <w:tcPr>
            <w:tcW w:w="675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A700002">
            <w:pPr>
              <w:rPr>
                <w:rFonts w:hint="eastAsia" w:ascii="宋体" w:hAnsi="宋体" w:eastAsia="宋体" w:cs="宋体"/>
                <w:i w:val="0"/>
                <w:iCs w:val="0"/>
                <w:color w:val="000000"/>
                <w:sz w:val="18"/>
                <w:szCs w:val="18"/>
                <w:u w:val="none"/>
              </w:rPr>
            </w:pPr>
          </w:p>
        </w:tc>
        <w:tc>
          <w:tcPr>
            <w:tcW w:w="460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1599938">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对照年度目标，说明相关任务目标的完成情况（100字以内）</w:t>
            </w:r>
          </w:p>
        </w:tc>
      </w:tr>
      <w:tr w14:paraId="049E28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3"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AC0362">
            <w:pP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52DD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11367"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BE56767">
            <w:pPr>
              <w:rPr>
                <w:rFonts w:hint="eastAsia" w:ascii="宋体" w:hAnsi="宋体" w:eastAsia="宋体" w:cs="宋体"/>
                <w:i w:val="0"/>
                <w:iCs w:val="0"/>
                <w:color w:val="000000"/>
                <w:sz w:val="18"/>
                <w:szCs w:val="18"/>
                <w:u w:val="none"/>
              </w:rPr>
            </w:pPr>
          </w:p>
        </w:tc>
      </w:tr>
      <w:tr w14:paraId="497AE5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1"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EEA7D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F273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3ADE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1D13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A25D04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7C03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72A5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23F3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B98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1B3C9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6"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408F60">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8EED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2068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6D56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28.48</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1D6FC0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28.46</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F3A6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99.94%</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D7C8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F8ECE">
            <w:pPr>
              <w:jc w:val="center"/>
              <w:rPr>
                <w:rFonts w:hint="eastAsia" w:ascii="宋体" w:hAnsi="宋体" w:eastAsia="宋体" w:cs="宋体"/>
                <w:i w:val="0"/>
                <w:iCs w:val="0"/>
                <w:color w:val="000000"/>
                <w:sz w:val="18"/>
                <w:szCs w:val="18"/>
                <w:u w:val="none"/>
              </w:rPr>
            </w:pPr>
          </w:p>
        </w:tc>
        <w:tc>
          <w:tcPr>
            <w:tcW w:w="25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153AFE">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6B7CEF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1"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C0C96F">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4522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B6E8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420C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28.48</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1DAEA7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28.46</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D7CC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99.94%</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B624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ABAB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60BE90">
            <w:pPr>
              <w:rPr>
                <w:rFonts w:hint="eastAsia" w:ascii="黑体" w:hAnsi="黑体" w:eastAsia="黑体" w:cs="黑体"/>
                <w:i/>
                <w:iCs/>
                <w:color w:val="000000"/>
                <w:sz w:val="18"/>
                <w:szCs w:val="18"/>
                <w:u w:val="none"/>
              </w:rPr>
            </w:pPr>
          </w:p>
        </w:tc>
      </w:tr>
      <w:tr w14:paraId="5C12F8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F843D9">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C9A9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96C7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0F16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5C902D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DC00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3984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A8CE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B3CF01">
            <w:pPr>
              <w:rPr>
                <w:rFonts w:hint="eastAsia" w:ascii="黑体" w:hAnsi="黑体" w:eastAsia="黑体" w:cs="黑体"/>
                <w:i/>
                <w:iCs/>
                <w:color w:val="000000"/>
                <w:sz w:val="18"/>
                <w:szCs w:val="18"/>
                <w:u w:val="none"/>
              </w:rPr>
            </w:pPr>
          </w:p>
        </w:tc>
      </w:tr>
      <w:tr w14:paraId="18FE88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1"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4FC7E7">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64E3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8BFB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4C99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6EF5DC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BFC9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A576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623D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FD7094">
            <w:pPr>
              <w:rPr>
                <w:rFonts w:hint="eastAsia" w:ascii="黑体" w:hAnsi="黑体" w:eastAsia="黑体" w:cs="黑体"/>
                <w:i/>
                <w:iCs/>
                <w:color w:val="000000"/>
                <w:sz w:val="18"/>
                <w:szCs w:val="18"/>
                <w:u w:val="none"/>
              </w:rPr>
            </w:pPr>
          </w:p>
        </w:tc>
      </w:tr>
      <w:tr w14:paraId="3712DD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72125D">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0DBF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308E0">
            <w:pPr>
              <w:jc w:val="center"/>
              <w:rPr>
                <w:rFonts w:hint="eastAsia" w:ascii="微软雅黑" w:hAnsi="微软雅黑" w:eastAsia="微软雅黑" w:cs="微软雅黑"/>
                <w:i/>
                <w:iCs/>
                <w:color w:val="000000"/>
                <w:sz w:val="16"/>
                <w:szCs w:val="16"/>
                <w:u w:val="none"/>
              </w:rPr>
            </w:pP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32E9C">
            <w:pPr>
              <w:jc w:val="center"/>
              <w:rPr>
                <w:rFonts w:hint="eastAsia" w:ascii="微软雅黑" w:hAnsi="微软雅黑" w:eastAsia="微软雅黑" w:cs="微软雅黑"/>
                <w:i/>
                <w:iCs/>
                <w:color w:val="000000"/>
                <w:sz w:val="16"/>
                <w:szCs w:val="16"/>
                <w:u w:val="none"/>
              </w:rPr>
            </w:pP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9780530">
            <w:pPr>
              <w:jc w:val="center"/>
              <w:rPr>
                <w:rFonts w:hint="eastAsia" w:ascii="微软雅黑" w:hAnsi="微软雅黑" w:eastAsia="微软雅黑" w:cs="微软雅黑"/>
                <w:i/>
                <w:iCs/>
                <w:color w:val="000000"/>
                <w:sz w:val="16"/>
                <w:szCs w:val="16"/>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7E48B">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6213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87C8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81ECBA">
            <w:pPr>
              <w:rPr>
                <w:rFonts w:hint="eastAsia" w:ascii="黑体" w:hAnsi="黑体" w:eastAsia="黑体" w:cs="黑体"/>
                <w:i/>
                <w:iCs/>
                <w:color w:val="000000"/>
                <w:sz w:val="18"/>
                <w:szCs w:val="18"/>
                <w:u w:val="none"/>
              </w:rPr>
            </w:pPr>
          </w:p>
        </w:tc>
      </w:tr>
      <w:tr w14:paraId="20630E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C88BA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AE6D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CAAC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F752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0EC1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8F4D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50F9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12AC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66A1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B0A2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3056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57CDC0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4938EA">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1EF98">
            <w:pPr>
              <w:jc w:val="center"/>
              <w:rPr>
                <w:rFonts w:hint="eastAsia" w:ascii="宋体" w:hAnsi="宋体" w:eastAsia="宋体" w:cs="宋体"/>
                <w:i w:val="0"/>
                <w:iCs w:val="0"/>
                <w:color w:val="000000"/>
                <w:sz w:val="18"/>
                <w:szCs w:val="18"/>
                <w:u w:val="none"/>
              </w:rPr>
            </w:pP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BC777">
            <w:pPr>
              <w:jc w:val="center"/>
              <w:rPr>
                <w:rFonts w:hint="eastAsia" w:ascii="宋体" w:hAnsi="宋体" w:eastAsia="宋体" w:cs="宋体"/>
                <w:i w:val="0"/>
                <w:iCs w:val="0"/>
                <w:color w:val="000000"/>
                <w:sz w:val="18"/>
                <w:szCs w:val="18"/>
                <w:u w:val="none"/>
              </w:rPr>
            </w:pP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320E8">
            <w:pPr>
              <w:jc w:val="center"/>
              <w:rPr>
                <w:rFonts w:hint="eastAsia" w:ascii="宋体" w:hAnsi="宋体" w:eastAsia="宋体" w:cs="宋体"/>
                <w:i w:val="0"/>
                <w:iCs w:val="0"/>
                <w:color w:val="000000"/>
                <w:sz w:val="18"/>
                <w:szCs w:val="18"/>
                <w:u w:val="none"/>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9B7FE">
            <w:pPr>
              <w:jc w:val="center"/>
              <w:rPr>
                <w:rFonts w:hint="eastAsia" w:ascii="宋体" w:hAnsi="宋体" w:eastAsia="宋体" w:cs="宋体"/>
                <w:i w:val="0"/>
                <w:iCs w:val="0"/>
                <w:color w:val="000000"/>
                <w:sz w:val="18"/>
                <w:szCs w:val="18"/>
                <w:u w:val="none"/>
              </w:rPr>
            </w:pP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B7CEC">
            <w:pPr>
              <w:jc w:val="center"/>
              <w:rPr>
                <w:rFonts w:hint="eastAsia" w:ascii="宋体" w:hAnsi="宋体" w:eastAsia="宋体" w:cs="宋体"/>
                <w:i w:val="0"/>
                <w:iCs w:val="0"/>
                <w:color w:val="000000"/>
                <w:sz w:val="18"/>
                <w:szCs w:val="18"/>
                <w:u w:val="none"/>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BF15D">
            <w:pPr>
              <w:jc w:val="center"/>
              <w:rPr>
                <w:rFonts w:hint="eastAsia" w:ascii="宋体" w:hAnsi="宋体" w:eastAsia="宋体" w:cs="宋体"/>
                <w:i w:val="0"/>
                <w:iCs w:val="0"/>
                <w:color w:val="000000"/>
                <w:sz w:val="18"/>
                <w:szCs w:val="18"/>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8C234">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98D95">
            <w:pPr>
              <w:jc w:val="center"/>
              <w:rPr>
                <w:rFonts w:hint="eastAsia" w:ascii="宋体" w:hAnsi="宋体" w:eastAsia="宋体" w:cs="宋体"/>
                <w:i w:val="0"/>
                <w:iCs w:val="0"/>
                <w:color w:val="000000"/>
                <w:sz w:val="18"/>
                <w:szCs w:val="18"/>
                <w:u w:val="none"/>
              </w:rPr>
            </w:pP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B6635">
            <w:pPr>
              <w:jc w:val="center"/>
              <w:rPr>
                <w:rFonts w:hint="eastAsia" w:ascii="宋体" w:hAnsi="宋体" w:eastAsia="宋体" w:cs="宋体"/>
                <w:i w:val="0"/>
                <w:iCs w:val="0"/>
                <w:color w:val="000000"/>
                <w:sz w:val="18"/>
                <w:szCs w:val="18"/>
                <w:u w:val="none"/>
              </w:rPr>
            </w:pP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A21CD">
            <w:pPr>
              <w:jc w:val="center"/>
              <w:rPr>
                <w:rFonts w:hint="eastAsia" w:ascii="微软雅黑" w:hAnsi="微软雅黑" w:eastAsia="微软雅黑" w:cs="微软雅黑"/>
                <w:i/>
                <w:iCs/>
                <w:color w:val="000000"/>
                <w:sz w:val="16"/>
                <w:szCs w:val="16"/>
                <w:u w:val="none"/>
              </w:rPr>
            </w:pPr>
          </w:p>
        </w:tc>
      </w:tr>
      <w:tr w14:paraId="29EE7F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1058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69F9AB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01E3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469E0">
            <w:pPr>
              <w:rPr>
                <w:rFonts w:hint="eastAsia" w:ascii="宋体" w:hAnsi="宋体" w:eastAsia="宋体" w:cs="宋体"/>
                <w:i w:val="0"/>
                <w:iCs w:val="0"/>
                <w:color w:val="000000"/>
                <w:sz w:val="18"/>
                <w:szCs w:val="18"/>
                <w:u w:val="none"/>
              </w:rPr>
            </w:pP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9D72B">
            <w:pPr>
              <w:rPr>
                <w:rFonts w:hint="eastAsia" w:ascii="宋体" w:hAnsi="宋体" w:eastAsia="宋体" w:cs="宋体"/>
                <w:i w:val="0"/>
                <w:iCs w:val="0"/>
                <w:color w:val="000000"/>
                <w:sz w:val="18"/>
                <w:szCs w:val="18"/>
                <w:u w:val="none"/>
              </w:rPr>
            </w:pPr>
          </w:p>
        </w:tc>
      </w:tr>
      <w:tr w14:paraId="53B5FC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12E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134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00AD6F1">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结合自评情况，说明项目自评总分，说明项目实施取得的成效或成果。（200字以内）</w:t>
            </w:r>
          </w:p>
        </w:tc>
      </w:tr>
      <w:tr w14:paraId="5DA9EE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2"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8583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134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04E5237">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结合自评情况，分析存在的问题及原因。（200字以内）</w:t>
            </w:r>
          </w:p>
        </w:tc>
      </w:tr>
      <w:tr w14:paraId="5CE90F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F7D7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134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DF24EC8">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针对项目自评中发现的问题，提出下一步改进完善的意见及有关政策性建议。（200字以内）</w:t>
            </w:r>
          </w:p>
        </w:tc>
      </w:tr>
      <w:tr w14:paraId="0F6E48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729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F397987">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项目负责人：赵兴梅</w:t>
            </w:r>
          </w:p>
        </w:tc>
        <w:tc>
          <w:tcPr>
            <w:tcW w:w="680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ADFDE98">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财务负责人：王良洪</w:t>
            </w:r>
          </w:p>
        </w:tc>
      </w:tr>
      <w:tr w14:paraId="278442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684" w:type="dxa"/>
            <w:tcBorders>
              <w:top w:val="nil"/>
              <w:left w:val="nil"/>
              <w:bottom w:val="nil"/>
              <w:right w:val="nil"/>
            </w:tcBorders>
            <w:shd w:val="clear" w:color="auto" w:fill="auto"/>
            <w:vAlign w:val="center"/>
          </w:tcPr>
          <w:p w14:paraId="0377A4FF">
            <w:pPr>
              <w:rPr>
                <w:rFonts w:hint="eastAsia" w:ascii="宋体" w:hAnsi="宋体" w:eastAsia="宋体" w:cs="宋体"/>
                <w:i w:val="0"/>
                <w:iCs w:val="0"/>
                <w:color w:val="000000"/>
                <w:sz w:val="18"/>
                <w:szCs w:val="18"/>
                <w:u w:val="none"/>
              </w:rPr>
            </w:pPr>
          </w:p>
        </w:tc>
        <w:tc>
          <w:tcPr>
            <w:tcW w:w="2052" w:type="dxa"/>
            <w:tcBorders>
              <w:top w:val="nil"/>
              <w:left w:val="nil"/>
              <w:bottom w:val="nil"/>
              <w:right w:val="nil"/>
            </w:tcBorders>
            <w:shd w:val="clear" w:color="auto" w:fill="auto"/>
            <w:vAlign w:val="center"/>
          </w:tcPr>
          <w:p w14:paraId="7DE9FF8A">
            <w:pPr>
              <w:rPr>
                <w:rFonts w:hint="eastAsia" w:ascii="宋体" w:hAnsi="宋体" w:eastAsia="宋体" w:cs="宋体"/>
                <w:i w:val="0"/>
                <w:iCs w:val="0"/>
                <w:color w:val="000000"/>
                <w:sz w:val="18"/>
                <w:szCs w:val="18"/>
                <w:u w:val="none"/>
              </w:rPr>
            </w:pPr>
          </w:p>
          <w:p w14:paraId="278D959E">
            <w:pPr>
              <w:rPr>
                <w:rFonts w:hint="eastAsia" w:ascii="宋体" w:hAnsi="宋体" w:eastAsia="宋体" w:cs="宋体"/>
                <w:i w:val="0"/>
                <w:iCs w:val="0"/>
                <w:color w:val="000000"/>
                <w:sz w:val="18"/>
                <w:szCs w:val="18"/>
                <w:u w:val="none"/>
              </w:rPr>
            </w:pPr>
          </w:p>
          <w:p w14:paraId="602324E6">
            <w:pPr>
              <w:rPr>
                <w:rFonts w:hint="eastAsia" w:ascii="宋体" w:hAnsi="宋体" w:eastAsia="宋体" w:cs="宋体"/>
                <w:i w:val="0"/>
                <w:iCs w:val="0"/>
                <w:color w:val="000000"/>
                <w:sz w:val="18"/>
                <w:szCs w:val="18"/>
                <w:u w:val="none"/>
              </w:rPr>
            </w:pPr>
          </w:p>
          <w:p w14:paraId="233D8608">
            <w:pPr>
              <w:rPr>
                <w:rFonts w:hint="eastAsia" w:ascii="宋体" w:hAnsi="宋体" w:eastAsia="宋体" w:cs="宋体"/>
                <w:i w:val="0"/>
                <w:iCs w:val="0"/>
                <w:color w:val="000000"/>
                <w:sz w:val="18"/>
                <w:szCs w:val="18"/>
                <w:u w:val="none"/>
              </w:rPr>
            </w:pPr>
          </w:p>
          <w:p w14:paraId="1CDEAB19">
            <w:pPr>
              <w:rPr>
                <w:rFonts w:hint="eastAsia" w:ascii="宋体" w:hAnsi="宋体" w:eastAsia="宋体" w:cs="宋体"/>
                <w:i w:val="0"/>
                <w:iCs w:val="0"/>
                <w:color w:val="000000"/>
                <w:sz w:val="18"/>
                <w:szCs w:val="18"/>
                <w:u w:val="none"/>
              </w:rPr>
            </w:pPr>
          </w:p>
          <w:p w14:paraId="265CA587">
            <w:pPr>
              <w:rPr>
                <w:rFonts w:hint="eastAsia" w:ascii="宋体" w:hAnsi="宋体" w:eastAsia="宋体" w:cs="宋体"/>
                <w:i w:val="0"/>
                <w:iCs w:val="0"/>
                <w:color w:val="000000"/>
                <w:sz w:val="18"/>
                <w:szCs w:val="18"/>
                <w:u w:val="none"/>
              </w:rPr>
            </w:pPr>
          </w:p>
          <w:p w14:paraId="13C82885">
            <w:pPr>
              <w:rPr>
                <w:rFonts w:hint="eastAsia" w:ascii="宋体" w:hAnsi="宋体" w:eastAsia="宋体" w:cs="宋体"/>
                <w:i w:val="0"/>
                <w:iCs w:val="0"/>
                <w:color w:val="000000"/>
                <w:sz w:val="18"/>
                <w:szCs w:val="18"/>
                <w:u w:val="none"/>
              </w:rPr>
            </w:pPr>
          </w:p>
          <w:p w14:paraId="16E587A2">
            <w:pPr>
              <w:rPr>
                <w:rFonts w:hint="eastAsia" w:ascii="宋体" w:hAnsi="宋体" w:eastAsia="宋体" w:cs="宋体"/>
                <w:i w:val="0"/>
                <w:iCs w:val="0"/>
                <w:color w:val="000000"/>
                <w:sz w:val="18"/>
                <w:szCs w:val="18"/>
                <w:u w:val="none"/>
              </w:rPr>
            </w:pPr>
          </w:p>
          <w:p w14:paraId="48875F5E">
            <w:pPr>
              <w:rPr>
                <w:rFonts w:hint="eastAsia" w:ascii="宋体" w:hAnsi="宋体" w:eastAsia="宋体" w:cs="宋体"/>
                <w:i w:val="0"/>
                <w:iCs w:val="0"/>
                <w:color w:val="000000"/>
                <w:sz w:val="18"/>
                <w:szCs w:val="18"/>
                <w:u w:val="none"/>
              </w:rPr>
            </w:pPr>
          </w:p>
          <w:p w14:paraId="6D2B3FE9">
            <w:pPr>
              <w:rPr>
                <w:rFonts w:hint="eastAsia" w:ascii="宋体" w:hAnsi="宋体" w:eastAsia="宋体" w:cs="宋体"/>
                <w:i w:val="0"/>
                <w:iCs w:val="0"/>
                <w:color w:val="000000"/>
                <w:sz w:val="18"/>
                <w:szCs w:val="18"/>
                <w:u w:val="none"/>
              </w:rPr>
            </w:pPr>
          </w:p>
          <w:p w14:paraId="475B47D5">
            <w:pPr>
              <w:rPr>
                <w:rFonts w:hint="eastAsia" w:ascii="宋体" w:hAnsi="宋体" w:eastAsia="宋体" w:cs="宋体"/>
                <w:i w:val="0"/>
                <w:iCs w:val="0"/>
                <w:color w:val="000000"/>
                <w:sz w:val="18"/>
                <w:szCs w:val="18"/>
                <w:u w:val="none"/>
              </w:rPr>
            </w:pPr>
          </w:p>
          <w:p w14:paraId="75C698FC">
            <w:pPr>
              <w:rPr>
                <w:rFonts w:hint="eastAsia" w:ascii="宋体" w:hAnsi="宋体" w:eastAsia="宋体" w:cs="宋体"/>
                <w:i w:val="0"/>
                <w:iCs w:val="0"/>
                <w:color w:val="000000"/>
                <w:sz w:val="18"/>
                <w:szCs w:val="18"/>
                <w:u w:val="none"/>
              </w:rPr>
            </w:pPr>
          </w:p>
          <w:p w14:paraId="25A39A23">
            <w:pPr>
              <w:rPr>
                <w:rFonts w:hint="eastAsia" w:ascii="宋体" w:hAnsi="宋体" w:eastAsia="宋体" w:cs="宋体"/>
                <w:i w:val="0"/>
                <w:iCs w:val="0"/>
                <w:color w:val="000000"/>
                <w:sz w:val="18"/>
                <w:szCs w:val="18"/>
                <w:u w:val="none"/>
              </w:rPr>
            </w:pPr>
          </w:p>
          <w:p w14:paraId="7D06F6C3">
            <w:pPr>
              <w:rPr>
                <w:rFonts w:hint="eastAsia" w:ascii="宋体" w:hAnsi="宋体" w:eastAsia="宋体" w:cs="宋体"/>
                <w:i w:val="0"/>
                <w:iCs w:val="0"/>
                <w:color w:val="000000"/>
                <w:sz w:val="18"/>
                <w:szCs w:val="18"/>
                <w:u w:val="none"/>
              </w:rPr>
            </w:pPr>
          </w:p>
          <w:p w14:paraId="6E763ABE">
            <w:pPr>
              <w:rPr>
                <w:rFonts w:hint="eastAsia" w:ascii="宋体" w:hAnsi="宋体" w:eastAsia="宋体" w:cs="宋体"/>
                <w:i w:val="0"/>
                <w:iCs w:val="0"/>
                <w:color w:val="000000"/>
                <w:sz w:val="18"/>
                <w:szCs w:val="18"/>
                <w:u w:val="none"/>
              </w:rPr>
            </w:pPr>
          </w:p>
          <w:p w14:paraId="490F16ED">
            <w:pPr>
              <w:rPr>
                <w:rFonts w:hint="eastAsia" w:ascii="宋体" w:hAnsi="宋体" w:eastAsia="宋体" w:cs="宋体"/>
                <w:i w:val="0"/>
                <w:iCs w:val="0"/>
                <w:color w:val="000000"/>
                <w:sz w:val="18"/>
                <w:szCs w:val="18"/>
                <w:u w:val="none"/>
              </w:rPr>
            </w:pPr>
          </w:p>
        </w:tc>
        <w:tc>
          <w:tcPr>
            <w:tcW w:w="1775" w:type="dxa"/>
            <w:tcBorders>
              <w:top w:val="nil"/>
              <w:left w:val="nil"/>
              <w:bottom w:val="nil"/>
              <w:right w:val="nil"/>
            </w:tcBorders>
            <w:shd w:val="clear" w:color="auto" w:fill="auto"/>
            <w:vAlign w:val="center"/>
          </w:tcPr>
          <w:p w14:paraId="59375987">
            <w:pPr>
              <w:rPr>
                <w:rFonts w:hint="eastAsia" w:ascii="宋体" w:hAnsi="宋体" w:eastAsia="宋体" w:cs="宋体"/>
                <w:i w:val="0"/>
                <w:iCs w:val="0"/>
                <w:color w:val="000000"/>
                <w:sz w:val="18"/>
                <w:szCs w:val="18"/>
                <w:u w:val="none"/>
              </w:rPr>
            </w:pPr>
          </w:p>
        </w:tc>
        <w:tc>
          <w:tcPr>
            <w:tcW w:w="2264" w:type="dxa"/>
            <w:tcBorders>
              <w:top w:val="nil"/>
              <w:left w:val="nil"/>
              <w:bottom w:val="nil"/>
              <w:right w:val="nil"/>
            </w:tcBorders>
            <w:shd w:val="clear" w:color="auto" w:fill="auto"/>
            <w:vAlign w:val="center"/>
          </w:tcPr>
          <w:p w14:paraId="0379A5A2">
            <w:pPr>
              <w:rPr>
                <w:rFonts w:hint="eastAsia" w:ascii="宋体" w:hAnsi="宋体" w:eastAsia="宋体" w:cs="宋体"/>
                <w:i w:val="0"/>
                <w:iCs w:val="0"/>
                <w:color w:val="000000"/>
                <w:sz w:val="18"/>
                <w:szCs w:val="18"/>
                <w:u w:val="none"/>
              </w:rPr>
            </w:pPr>
          </w:p>
        </w:tc>
        <w:tc>
          <w:tcPr>
            <w:tcW w:w="521" w:type="dxa"/>
            <w:tcBorders>
              <w:top w:val="nil"/>
              <w:left w:val="nil"/>
              <w:bottom w:val="nil"/>
              <w:right w:val="nil"/>
            </w:tcBorders>
            <w:shd w:val="clear" w:color="auto" w:fill="auto"/>
            <w:vAlign w:val="center"/>
          </w:tcPr>
          <w:p w14:paraId="190708C1">
            <w:pPr>
              <w:rPr>
                <w:rFonts w:hint="eastAsia" w:ascii="宋体" w:hAnsi="宋体" w:eastAsia="宋体" w:cs="宋体"/>
                <w:i w:val="0"/>
                <w:iCs w:val="0"/>
                <w:color w:val="000000"/>
                <w:sz w:val="18"/>
                <w:szCs w:val="18"/>
                <w:u w:val="none"/>
              </w:rPr>
            </w:pPr>
          </w:p>
        </w:tc>
        <w:tc>
          <w:tcPr>
            <w:tcW w:w="1677" w:type="dxa"/>
            <w:tcBorders>
              <w:top w:val="nil"/>
              <w:left w:val="nil"/>
              <w:bottom w:val="nil"/>
              <w:right w:val="nil"/>
            </w:tcBorders>
            <w:shd w:val="clear" w:color="auto" w:fill="auto"/>
            <w:vAlign w:val="center"/>
          </w:tcPr>
          <w:p w14:paraId="77CFC7C9">
            <w:pPr>
              <w:rPr>
                <w:rFonts w:hint="eastAsia" w:ascii="宋体" w:hAnsi="宋体" w:eastAsia="宋体" w:cs="宋体"/>
                <w:i w:val="0"/>
                <w:iCs w:val="0"/>
                <w:color w:val="000000"/>
                <w:sz w:val="18"/>
                <w:szCs w:val="18"/>
                <w:u w:val="none"/>
              </w:rPr>
            </w:pPr>
          </w:p>
        </w:tc>
        <w:tc>
          <w:tcPr>
            <w:tcW w:w="521" w:type="dxa"/>
            <w:tcBorders>
              <w:top w:val="nil"/>
              <w:left w:val="nil"/>
              <w:bottom w:val="nil"/>
              <w:right w:val="nil"/>
            </w:tcBorders>
            <w:shd w:val="clear" w:color="auto" w:fill="auto"/>
            <w:vAlign w:val="center"/>
          </w:tcPr>
          <w:p w14:paraId="4C12F66C">
            <w:pPr>
              <w:rPr>
                <w:rFonts w:hint="eastAsia" w:ascii="宋体" w:hAnsi="宋体" w:eastAsia="宋体" w:cs="宋体"/>
                <w:i w:val="0"/>
                <w:iCs w:val="0"/>
                <w:color w:val="000000"/>
                <w:sz w:val="18"/>
                <w:szCs w:val="18"/>
                <w:u w:val="none"/>
              </w:rPr>
            </w:pPr>
          </w:p>
        </w:tc>
        <w:tc>
          <w:tcPr>
            <w:tcW w:w="1091" w:type="dxa"/>
            <w:tcBorders>
              <w:top w:val="nil"/>
              <w:left w:val="nil"/>
              <w:bottom w:val="nil"/>
              <w:right w:val="nil"/>
            </w:tcBorders>
            <w:shd w:val="clear" w:color="auto" w:fill="auto"/>
            <w:vAlign w:val="center"/>
          </w:tcPr>
          <w:p w14:paraId="525C1868">
            <w:pPr>
              <w:rPr>
                <w:rFonts w:hint="eastAsia" w:ascii="宋体" w:hAnsi="宋体" w:eastAsia="宋体" w:cs="宋体"/>
                <w:i w:val="0"/>
                <w:iCs w:val="0"/>
                <w:color w:val="000000"/>
                <w:sz w:val="18"/>
                <w:szCs w:val="18"/>
                <w:u w:val="none"/>
              </w:rPr>
            </w:pPr>
          </w:p>
        </w:tc>
        <w:tc>
          <w:tcPr>
            <w:tcW w:w="505" w:type="dxa"/>
            <w:tcBorders>
              <w:top w:val="nil"/>
              <w:left w:val="nil"/>
              <w:bottom w:val="nil"/>
              <w:right w:val="nil"/>
            </w:tcBorders>
            <w:shd w:val="clear" w:color="auto" w:fill="auto"/>
            <w:vAlign w:val="center"/>
          </w:tcPr>
          <w:p w14:paraId="480F7B3B">
            <w:pPr>
              <w:rPr>
                <w:rFonts w:hint="eastAsia" w:ascii="宋体" w:hAnsi="宋体" w:eastAsia="宋体" w:cs="宋体"/>
                <w:i w:val="0"/>
                <w:iCs w:val="0"/>
                <w:color w:val="000000"/>
                <w:sz w:val="18"/>
                <w:szCs w:val="18"/>
                <w:u w:val="none"/>
              </w:rPr>
            </w:pPr>
          </w:p>
        </w:tc>
        <w:tc>
          <w:tcPr>
            <w:tcW w:w="456" w:type="dxa"/>
            <w:tcBorders>
              <w:top w:val="nil"/>
              <w:left w:val="nil"/>
              <w:bottom w:val="nil"/>
              <w:right w:val="nil"/>
            </w:tcBorders>
            <w:shd w:val="clear" w:color="auto" w:fill="auto"/>
            <w:vAlign w:val="center"/>
          </w:tcPr>
          <w:p w14:paraId="72888656">
            <w:pPr>
              <w:rPr>
                <w:rFonts w:hint="eastAsia" w:ascii="宋体" w:hAnsi="宋体" w:eastAsia="宋体" w:cs="宋体"/>
                <w:i w:val="0"/>
                <w:iCs w:val="0"/>
                <w:color w:val="000000"/>
                <w:sz w:val="18"/>
                <w:szCs w:val="18"/>
                <w:u w:val="none"/>
              </w:rPr>
            </w:pPr>
          </w:p>
        </w:tc>
        <w:tc>
          <w:tcPr>
            <w:tcW w:w="2557" w:type="dxa"/>
            <w:tcBorders>
              <w:top w:val="nil"/>
              <w:left w:val="nil"/>
              <w:bottom w:val="nil"/>
              <w:right w:val="nil"/>
            </w:tcBorders>
            <w:shd w:val="clear" w:color="auto" w:fill="auto"/>
            <w:vAlign w:val="center"/>
          </w:tcPr>
          <w:p w14:paraId="469BC9A3">
            <w:pPr>
              <w:rPr>
                <w:rFonts w:hint="eastAsia" w:ascii="宋体" w:hAnsi="宋体" w:eastAsia="宋体" w:cs="宋体"/>
                <w:i w:val="0"/>
                <w:iCs w:val="0"/>
                <w:color w:val="000000"/>
                <w:sz w:val="18"/>
                <w:szCs w:val="18"/>
                <w:u w:val="none"/>
              </w:rPr>
            </w:pPr>
          </w:p>
        </w:tc>
      </w:tr>
      <w:tr w14:paraId="291163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4" w:hRule="atLeast"/>
        </w:trPr>
        <w:tc>
          <w:tcPr>
            <w:tcW w:w="14103"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4FC65E7A">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6334CF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2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AA866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11367"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E2F3D2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51050022R000005174898-人员支出（抚恤、中人、护理等补助）</w:t>
            </w:r>
          </w:p>
        </w:tc>
      </w:tr>
      <w:tr w14:paraId="513B27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2" w:hRule="atLeast"/>
        </w:trPr>
        <w:tc>
          <w:tcPr>
            <w:tcW w:w="2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C447B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675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7A90A5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市政法部门</w:t>
            </w:r>
          </w:p>
        </w:tc>
        <w:tc>
          <w:tcPr>
            <w:tcW w:w="1091" w:type="dxa"/>
            <w:tcBorders>
              <w:top w:val="nil"/>
              <w:left w:val="nil"/>
              <w:bottom w:val="nil"/>
              <w:right w:val="nil"/>
            </w:tcBorders>
            <w:shd w:val="clear" w:color="auto" w:fill="auto"/>
            <w:vAlign w:val="center"/>
          </w:tcPr>
          <w:p w14:paraId="370D030E">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1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96845C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中国共产党泸州市委员会政法委员会</w:t>
            </w:r>
          </w:p>
        </w:tc>
      </w:tr>
      <w:tr w14:paraId="5F0028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46E20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20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DC74B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675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14D59C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60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CB00581">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74AD67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8"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88AC46">
            <w:pP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230B16">
            <w:pPr>
              <w:rPr>
                <w:rFonts w:hint="eastAsia" w:ascii="宋体" w:hAnsi="宋体" w:eastAsia="宋体" w:cs="宋体"/>
                <w:i w:val="0"/>
                <w:iCs w:val="0"/>
                <w:color w:val="000000"/>
                <w:sz w:val="18"/>
                <w:szCs w:val="18"/>
                <w:u w:val="none"/>
              </w:rPr>
            </w:pPr>
          </w:p>
        </w:tc>
        <w:tc>
          <w:tcPr>
            <w:tcW w:w="675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B701E2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严格执行相关政策，保障工资及时、足额发放或社保及时、足额缴纳，预算编制科学合理，减少结余资金</w:t>
            </w:r>
          </w:p>
        </w:tc>
        <w:tc>
          <w:tcPr>
            <w:tcW w:w="460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11E2156">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对照年度目标，说明相关任务目标的完成情况（100字以内）</w:t>
            </w:r>
          </w:p>
        </w:tc>
      </w:tr>
      <w:tr w14:paraId="3F9857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3"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BDAD66">
            <w:pP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1CBF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11367"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3F5DB35">
            <w:pPr>
              <w:rPr>
                <w:rFonts w:hint="eastAsia" w:ascii="宋体" w:hAnsi="宋体" w:eastAsia="宋体" w:cs="宋体"/>
                <w:i w:val="0"/>
                <w:iCs w:val="0"/>
                <w:color w:val="000000"/>
                <w:sz w:val="18"/>
                <w:szCs w:val="18"/>
                <w:u w:val="none"/>
              </w:rPr>
            </w:pPr>
          </w:p>
        </w:tc>
      </w:tr>
      <w:tr w14:paraId="3187E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1"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5845D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5C17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8EBB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AFF0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D169CD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98F0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FB91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9DA8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F8F5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1B3361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6"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ED8C45">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5E00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3119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D8AD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40.65</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F5AFFE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35.84</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9872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88.16%</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339E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C71EB">
            <w:pPr>
              <w:jc w:val="center"/>
              <w:rPr>
                <w:rFonts w:hint="eastAsia" w:ascii="宋体" w:hAnsi="宋体" w:eastAsia="宋体" w:cs="宋体"/>
                <w:i w:val="0"/>
                <w:iCs w:val="0"/>
                <w:color w:val="000000"/>
                <w:sz w:val="18"/>
                <w:szCs w:val="18"/>
                <w:u w:val="none"/>
              </w:rPr>
            </w:pPr>
          </w:p>
        </w:tc>
        <w:tc>
          <w:tcPr>
            <w:tcW w:w="25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0122F5">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1851CC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1"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DE5AA1">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D86D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A6DB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04D9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40.65</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F401FC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35.84</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25B3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88.16%</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F55F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249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AC6B7C">
            <w:pPr>
              <w:rPr>
                <w:rFonts w:hint="eastAsia" w:ascii="黑体" w:hAnsi="黑体" w:eastAsia="黑体" w:cs="黑体"/>
                <w:i/>
                <w:iCs/>
                <w:color w:val="000000"/>
                <w:sz w:val="18"/>
                <w:szCs w:val="18"/>
                <w:u w:val="none"/>
              </w:rPr>
            </w:pPr>
          </w:p>
        </w:tc>
      </w:tr>
      <w:tr w14:paraId="6EE127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FAE852">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0E5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1130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0757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4AC55D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583B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7B28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3169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20B9A4">
            <w:pPr>
              <w:rPr>
                <w:rFonts w:hint="eastAsia" w:ascii="黑体" w:hAnsi="黑体" w:eastAsia="黑体" w:cs="黑体"/>
                <w:i/>
                <w:iCs/>
                <w:color w:val="000000"/>
                <w:sz w:val="18"/>
                <w:szCs w:val="18"/>
                <w:u w:val="none"/>
              </w:rPr>
            </w:pPr>
          </w:p>
        </w:tc>
      </w:tr>
      <w:tr w14:paraId="372AB1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1"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D1B49B">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D3D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095E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2D0E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C9A17C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FE1F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B0BB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B1A2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1156A1">
            <w:pPr>
              <w:rPr>
                <w:rFonts w:hint="eastAsia" w:ascii="黑体" w:hAnsi="黑体" w:eastAsia="黑体" w:cs="黑体"/>
                <w:i/>
                <w:iCs/>
                <w:color w:val="000000"/>
                <w:sz w:val="18"/>
                <w:szCs w:val="18"/>
                <w:u w:val="none"/>
              </w:rPr>
            </w:pPr>
          </w:p>
        </w:tc>
      </w:tr>
      <w:tr w14:paraId="035AB9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964DE0">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EC0D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59972">
            <w:pPr>
              <w:jc w:val="center"/>
              <w:rPr>
                <w:rFonts w:hint="eastAsia" w:ascii="微软雅黑" w:hAnsi="微软雅黑" w:eastAsia="微软雅黑" w:cs="微软雅黑"/>
                <w:i/>
                <w:iCs/>
                <w:color w:val="000000"/>
                <w:sz w:val="16"/>
                <w:szCs w:val="16"/>
                <w:u w:val="none"/>
              </w:rPr>
            </w:pP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6D264">
            <w:pPr>
              <w:jc w:val="center"/>
              <w:rPr>
                <w:rFonts w:hint="eastAsia" w:ascii="微软雅黑" w:hAnsi="微软雅黑" w:eastAsia="微软雅黑" w:cs="微软雅黑"/>
                <w:i/>
                <w:iCs/>
                <w:color w:val="000000"/>
                <w:sz w:val="16"/>
                <w:szCs w:val="16"/>
                <w:u w:val="none"/>
              </w:rPr>
            </w:pP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C7B7CD3">
            <w:pPr>
              <w:jc w:val="center"/>
              <w:rPr>
                <w:rFonts w:hint="eastAsia" w:ascii="微软雅黑" w:hAnsi="微软雅黑" w:eastAsia="微软雅黑" w:cs="微软雅黑"/>
                <w:i/>
                <w:iCs/>
                <w:color w:val="000000"/>
                <w:sz w:val="16"/>
                <w:szCs w:val="16"/>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E359A">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A800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A14A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7607D0">
            <w:pPr>
              <w:rPr>
                <w:rFonts w:hint="eastAsia" w:ascii="黑体" w:hAnsi="黑体" w:eastAsia="黑体" w:cs="黑体"/>
                <w:i/>
                <w:iCs/>
                <w:color w:val="000000"/>
                <w:sz w:val="18"/>
                <w:szCs w:val="18"/>
                <w:u w:val="none"/>
              </w:rPr>
            </w:pPr>
          </w:p>
        </w:tc>
      </w:tr>
      <w:tr w14:paraId="1E14F3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4AC70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D289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6255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EE26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4F74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6351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4E65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9EBB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5DBE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7D8B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FFA8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44E143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76B66C">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5F28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EE3F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E74F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发放（缴纳）覆盖率</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8C17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A0DA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A79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E13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9EF1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D799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60</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AE7B5">
            <w:pPr>
              <w:jc w:val="center"/>
              <w:rPr>
                <w:rFonts w:hint="eastAsia" w:ascii="微软雅黑" w:hAnsi="微软雅黑" w:eastAsia="微软雅黑" w:cs="微软雅黑"/>
                <w:i/>
                <w:iCs/>
                <w:color w:val="000000"/>
                <w:sz w:val="16"/>
                <w:szCs w:val="16"/>
                <w:u w:val="none"/>
              </w:rPr>
            </w:pPr>
          </w:p>
        </w:tc>
      </w:tr>
      <w:tr w14:paraId="2CB5BD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6A1BA4">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AD7C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B694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27BA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足额保障率（参保率）</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676B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EDE0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C600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26D1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1579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A39F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1D7DC">
            <w:pPr>
              <w:jc w:val="center"/>
              <w:rPr>
                <w:rFonts w:hint="eastAsia" w:ascii="微软雅黑" w:hAnsi="微软雅黑" w:eastAsia="微软雅黑" w:cs="微软雅黑"/>
                <w:i/>
                <w:iCs/>
                <w:color w:val="000000"/>
                <w:sz w:val="16"/>
                <w:szCs w:val="16"/>
                <w:u w:val="none"/>
              </w:rPr>
            </w:pPr>
          </w:p>
        </w:tc>
      </w:tr>
      <w:tr w14:paraId="367857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1058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F4C20D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E06F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BB94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D0017">
            <w:pPr>
              <w:rPr>
                <w:rFonts w:hint="eastAsia" w:ascii="宋体" w:hAnsi="宋体" w:eastAsia="宋体" w:cs="宋体"/>
                <w:i w:val="0"/>
                <w:iCs w:val="0"/>
                <w:color w:val="000000"/>
                <w:sz w:val="18"/>
                <w:szCs w:val="18"/>
                <w:u w:val="none"/>
              </w:rPr>
            </w:pPr>
          </w:p>
        </w:tc>
      </w:tr>
      <w:tr w14:paraId="61246B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55DC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134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1C5BC3E">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结合自评情况，说明项目自评总分，说明项目实施取得的成效或成果。（200字以内）</w:t>
            </w:r>
          </w:p>
        </w:tc>
      </w:tr>
      <w:tr w14:paraId="1D865B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2"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D7C6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134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34B979C">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结合自评情况，分析存在的问题及原因。（200字以内）</w:t>
            </w:r>
          </w:p>
        </w:tc>
      </w:tr>
      <w:tr w14:paraId="153738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5B6F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134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AC6C413">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针对项目自评中发现的问题，提出下一步改进完善的意见及有关政策性建议。（200字以内）</w:t>
            </w:r>
          </w:p>
        </w:tc>
      </w:tr>
      <w:tr w14:paraId="69D104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729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B97279B">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项目负责人：赵兴梅</w:t>
            </w:r>
          </w:p>
        </w:tc>
        <w:tc>
          <w:tcPr>
            <w:tcW w:w="680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AD80CAF">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财务负责人：王良洪</w:t>
            </w:r>
          </w:p>
        </w:tc>
      </w:tr>
      <w:tr w14:paraId="780220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684" w:type="dxa"/>
            <w:tcBorders>
              <w:top w:val="nil"/>
              <w:left w:val="nil"/>
              <w:bottom w:val="nil"/>
              <w:right w:val="nil"/>
            </w:tcBorders>
            <w:shd w:val="clear" w:color="auto" w:fill="auto"/>
            <w:vAlign w:val="center"/>
          </w:tcPr>
          <w:p w14:paraId="19344FAB">
            <w:pPr>
              <w:rPr>
                <w:rFonts w:hint="eastAsia" w:ascii="宋体" w:hAnsi="宋体" w:eastAsia="宋体" w:cs="宋体"/>
                <w:i w:val="0"/>
                <w:iCs w:val="0"/>
                <w:color w:val="000000"/>
                <w:sz w:val="18"/>
                <w:szCs w:val="18"/>
                <w:u w:val="none"/>
              </w:rPr>
            </w:pPr>
          </w:p>
        </w:tc>
        <w:tc>
          <w:tcPr>
            <w:tcW w:w="2052" w:type="dxa"/>
            <w:tcBorders>
              <w:top w:val="nil"/>
              <w:left w:val="nil"/>
              <w:bottom w:val="nil"/>
              <w:right w:val="nil"/>
            </w:tcBorders>
            <w:shd w:val="clear" w:color="auto" w:fill="auto"/>
            <w:vAlign w:val="center"/>
          </w:tcPr>
          <w:p w14:paraId="4A6E9AFB">
            <w:pPr>
              <w:rPr>
                <w:rFonts w:hint="eastAsia" w:ascii="宋体" w:hAnsi="宋体" w:eastAsia="宋体" w:cs="宋体"/>
                <w:i w:val="0"/>
                <w:iCs w:val="0"/>
                <w:color w:val="000000"/>
                <w:sz w:val="18"/>
                <w:szCs w:val="18"/>
                <w:u w:val="none"/>
              </w:rPr>
            </w:pPr>
          </w:p>
          <w:p w14:paraId="201BFAE2">
            <w:pPr>
              <w:rPr>
                <w:rFonts w:hint="eastAsia" w:ascii="宋体" w:hAnsi="宋体" w:eastAsia="宋体" w:cs="宋体"/>
                <w:i w:val="0"/>
                <w:iCs w:val="0"/>
                <w:color w:val="000000"/>
                <w:sz w:val="18"/>
                <w:szCs w:val="18"/>
                <w:u w:val="none"/>
              </w:rPr>
            </w:pPr>
          </w:p>
          <w:p w14:paraId="4F2FF3C2">
            <w:pPr>
              <w:rPr>
                <w:rFonts w:hint="eastAsia" w:ascii="宋体" w:hAnsi="宋体" w:eastAsia="宋体" w:cs="宋体"/>
                <w:i w:val="0"/>
                <w:iCs w:val="0"/>
                <w:color w:val="000000"/>
                <w:sz w:val="18"/>
                <w:szCs w:val="18"/>
                <w:u w:val="none"/>
              </w:rPr>
            </w:pPr>
          </w:p>
          <w:p w14:paraId="2E752CC5">
            <w:pPr>
              <w:rPr>
                <w:rFonts w:hint="eastAsia" w:ascii="宋体" w:hAnsi="宋体" w:eastAsia="宋体" w:cs="宋体"/>
                <w:i w:val="0"/>
                <w:iCs w:val="0"/>
                <w:color w:val="000000"/>
                <w:sz w:val="18"/>
                <w:szCs w:val="18"/>
                <w:u w:val="none"/>
              </w:rPr>
            </w:pPr>
          </w:p>
          <w:p w14:paraId="1185C733">
            <w:pPr>
              <w:rPr>
                <w:rFonts w:hint="eastAsia" w:ascii="宋体" w:hAnsi="宋体" w:eastAsia="宋体" w:cs="宋体"/>
                <w:i w:val="0"/>
                <w:iCs w:val="0"/>
                <w:color w:val="000000"/>
                <w:sz w:val="18"/>
                <w:szCs w:val="18"/>
                <w:u w:val="none"/>
              </w:rPr>
            </w:pPr>
          </w:p>
          <w:p w14:paraId="7E6D47EF">
            <w:pPr>
              <w:rPr>
                <w:rFonts w:hint="eastAsia" w:ascii="宋体" w:hAnsi="宋体" w:eastAsia="宋体" w:cs="宋体"/>
                <w:i w:val="0"/>
                <w:iCs w:val="0"/>
                <w:color w:val="000000"/>
                <w:sz w:val="18"/>
                <w:szCs w:val="18"/>
                <w:u w:val="none"/>
              </w:rPr>
            </w:pPr>
          </w:p>
          <w:p w14:paraId="1C38A76D">
            <w:pPr>
              <w:rPr>
                <w:rFonts w:hint="eastAsia" w:ascii="宋体" w:hAnsi="宋体" w:eastAsia="宋体" w:cs="宋体"/>
                <w:i w:val="0"/>
                <w:iCs w:val="0"/>
                <w:color w:val="000000"/>
                <w:sz w:val="18"/>
                <w:szCs w:val="18"/>
                <w:u w:val="none"/>
              </w:rPr>
            </w:pPr>
          </w:p>
          <w:p w14:paraId="4CC86C0C">
            <w:pPr>
              <w:rPr>
                <w:rFonts w:hint="eastAsia" w:ascii="宋体" w:hAnsi="宋体" w:eastAsia="宋体" w:cs="宋体"/>
                <w:i w:val="0"/>
                <w:iCs w:val="0"/>
                <w:color w:val="000000"/>
                <w:sz w:val="18"/>
                <w:szCs w:val="18"/>
                <w:u w:val="none"/>
              </w:rPr>
            </w:pPr>
          </w:p>
          <w:p w14:paraId="6645C12B">
            <w:pPr>
              <w:rPr>
                <w:rFonts w:hint="eastAsia" w:ascii="宋体" w:hAnsi="宋体" w:eastAsia="宋体" w:cs="宋体"/>
                <w:i w:val="0"/>
                <w:iCs w:val="0"/>
                <w:color w:val="000000"/>
                <w:sz w:val="18"/>
                <w:szCs w:val="18"/>
                <w:u w:val="none"/>
              </w:rPr>
            </w:pPr>
          </w:p>
          <w:p w14:paraId="2C8EED9C">
            <w:pPr>
              <w:rPr>
                <w:rFonts w:hint="eastAsia" w:ascii="宋体" w:hAnsi="宋体" w:eastAsia="宋体" w:cs="宋体"/>
                <w:i w:val="0"/>
                <w:iCs w:val="0"/>
                <w:color w:val="000000"/>
                <w:sz w:val="18"/>
                <w:szCs w:val="18"/>
                <w:u w:val="none"/>
              </w:rPr>
            </w:pPr>
          </w:p>
          <w:p w14:paraId="38695363">
            <w:pPr>
              <w:rPr>
                <w:rFonts w:hint="eastAsia" w:ascii="宋体" w:hAnsi="宋体" w:eastAsia="宋体" w:cs="宋体"/>
                <w:i w:val="0"/>
                <w:iCs w:val="0"/>
                <w:color w:val="000000"/>
                <w:sz w:val="18"/>
                <w:szCs w:val="18"/>
                <w:u w:val="none"/>
              </w:rPr>
            </w:pPr>
          </w:p>
          <w:p w14:paraId="537C16DB">
            <w:pPr>
              <w:rPr>
                <w:rFonts w:hint="eastAsia" w:ascii="宋体" w:hAnsi="宋体" w:eastAsia="宋体" w:cs="宋体"/>
                <w:i w:val="0"/>
                <w:iCs w:val="0"/>
                <w:color w:val="000000"/>
                <w:sz w:val="18"/>
                <w:szCs w:val="18"/>
                <w:u w:val="none"/>
              </w:rPr>
            </w:pPr>
          </w:p>
          <w:p w14:paraId="516C68B6">
            <w:pPr>
              <w:rPr>
                <w:rFonts w:hint="eastAsia" w:ascii="宋体" w:hAnsi="宋体" w:eastAsia="宋体" w:cs="宋体"/>
                <w:i w:val="0"/>
                <w:iCs w:val="0"/>
                <w:color w:val="000000"/>
                <w:sz w:val="18"/>
                <w:szCs w:val="18"/>
                <w:u w:val="none"/>
              </w:rPr>
            </w:pPr>
          </w:p>
          <w:p w14:paraId="5A2A5DCB">
            <w:pPr>
              <w:rPr>
                <w:rFonts w:hint="eastAsia" w:ascii="宋体" w:hAnsi="宋体" w:eastAsia="宋体" w:cs="宋体"/>
                <w:i w:val="0"/>
                <w:iCs w:val="0"/>
                <w:color w:val="000000"/>
                <w:sz w:val="18"/>
                <w:szCs w:val="18"/>
                <w:u w:val="none"/>
              </w:rPr>
            </w:pPr>
          </w:p>
          <w:p w14:paraId="7CB65E4F">
            <w:pPr>
              <w:rPr>
                <w:rFonts w:hint="eastAsia" w:ascii="宋体" w:hAnsi="宋体" w:eastAsia="宋体" w:cs="宋体"/>
                <w:i w:val="0"/>
                <w:iCs w:val="0"/>
                <w:color w:val="000000"/>
                <w:sz w:val="18"/>
                <w:szCs w:val="18"/>
                <w:u w:val="none"/>
              </w:rPr>
            </w:pPr>
          </w:p>
          <w:p w14:paraId="28A1AA0E">
            <w:pPr>
              <w:rPr>
                <w:rFonts w:hint="eastAsia" w:ascii="宋体" w:hAnsi="宋体" w:eastAsia="宋体" w:cs="宋体"/>
                <w:i w:val="0"/>
                <w:iCs w:val="0"/>
                <w:color w:val="000000"/>
                <w:sz w:val="18"/>
                <w:szCs w:val="18"/>
                <w:u w:val="none"/>
              </w:rPr>
            </w:pPr>
          </w:p>
        </w:tc>
        <w:tc>
          <w:tcPr>
            <w:tcW w:w="1775" w:type="dxa"/>
            <w:tcBorders>
              <w:top w:val="nil"/>
              <w:left w:val="nil"/>
              <w:bottom w:val="nil"/>
              <w:right w:val="nil"/>
            </w:tcBorders>
            <w:shd w:val="clear" w:color="auto" w:fill="auto"/>
            <w:vAlign w:val="center"/>
          </w:tcPr>
          <w:p w14:paraId="076BBF5E">
            <w:pPr>
              <w:rPr>
                <w:rFonts w:hint="eastAsia" w:ascii="宋体" w:hAnsi="宋体" w:eastAsia="宋体" w:cs="宋体"/>
                <w:i w:val="0"/>
                <w:iCs w:val="0"/>
                <w:color w:val="000000"/>
                <w:sz w:val="18"/>
                <w:szCs w:val="18"/>
                <w:u w:val="none"/>
              </w:rPr>
            </w:pPr>
          </w:p>
        </w:tc>
        <w:tc>
          <w:tcPr>
            <w:tcW w:w="2264" w:type="dxa"/>
            <w:tcBorders>
              <w:top w:val="nil"/>
              <w:left w:val="nil"/>
              <w:bottom w:val="nil"/>
              <w:right w:val="nil"/>
            </w:tcBorders>
            <w:shd w:val="clear" w:color="auto" w:fill="auto"/>
            <w:vAlign w:val="center"/>
          </w:tcPr>
          <w:p w14:paraId="1366B382">
            <w:pPr>
              <w:rPr>
                <w:rFonts w:hint="eastAsia" w:ascii="宋体" w:hAnsi="宋体" w:eastAsia="宋体" w:cs="宋体"/>
                <w:i w:val="0"/>
                <w:iCs w:val="0"/>
                <w:color w:val="000000"/>
                <w:sz w:val="18"/>
                <w:szCs w:val="18"/>
                <w:u w:val="none"/>
              </w:rPr>
            </w:pPr>
          </w:p>
        </w:tc>
        <w:tc>
          <w:tcPr>
            <w:tcW w:w="521" w:type="dxa"/>
            <w:tcBorders>
              <w:top w:val="nil"/>
              <w:left w:val="nil"/>
              <w:bottom w:val="nil"/>
              <w:right w:val="nil"/>
            </w:tcBorders>
            <w:shd w:val="clear" w:color="auto" w:fill="auto"/>
            <w:vAlign w:val="center"/>
          </w:tcPr>
          <w:p w14:paraId="2DF57162">
            <w:pPr>
              <w:rPr>
                <w:rFonts w:hint="eastAsia" w:ascii="宋体" w:hAnsi="宋体" w:eastAsia="宋体" w:cs="宋体"/>
                <w:i w:val="0"/>
                <w:iCs w:val="0"/>
                <w:color w:val="000000"/>
                <w:sz w:val="18"/>
                <w:szCs w:val="18"/>
                <w:u w:val="none"/>
              </w:rPr>
            </w:pPr>
          </w:p>
        </w:tc>
        <w:tc>
          <w:tcPr>
            <w:tcW w:w="1677" w:type="dxa"/>
            <w:tcBorders>
              <w:top w:val="nil"/>
              <w:left w:val="nil"/>
              <w:bottom w:val="nil"/>
              <w:right w:val="nil"/>
            </w:tcBorders>
            <w:shd w:val="clear" w:color="auto" w:fill="auto"/>
            <w:vAlign w:val="center"/>
          </w:tcPr>
          <w:p w14:paraId="7D2721C3">
            <w:pPr>
              <w:rPr>
                <w:rFonts w:hint="eastAsia" w:ascii="宋体" w:hAnsi="宋体" w:eastAsia="宋体" w:cs="宋体"/>
                <w:i w:val="0"/>
                <w:iCs w:val="0"/>
                <w:color w:val="000000"/>
                <w:sz w:val="18"/>
                <w:szCs w:val="18"/>
                <w:u w:val="none"/>
              </w:rPr>
            </w:pPr>
          </w:p>
        </w:tc>
        <w:tc>
          <w:tcPr>
            <w:tcW w:w="521" w:type="dxa"/>
            <w:tcBorders>
              <w:top w:val="nil"/>
              <w:left w:val="nil"/>
              <w:bottom w:val="nil"/>
              <w:right w:val="nil"/>
            </w:tcBorders>
            <w:shd w:val="clear" w:color="auto" w:fill="auto"/>
            <w:vAlign w:val="center"/>
          </w:tcPr>
          <w:p w14:paraId="02B07A00">
            <w:pPr>
              <w:rPr>
                <w:rFonts w:hint="eastAsia" w:ascii="宋体" w:hAnsi="宋体" w:eastAsia="宋体" w:cs="宋体"/>
                <w:i w:val="0"/>
                <w:iCs w:val="0"/>
                <w:color w:val="000000"/>
                <w:sz w:val="18"/>
                <w:szCs w:val="18"/>
                <w:u w:val="none"/>
              </w:rPr>
            </w:pPr>
          </w:p>
        </w:tc>
        <w:tc>
          <w:tcPr>
            <w:tcW w:w="1091" w:type="dxa"/>
            <w:tcBorders>
              <w:top w:val="nil"/>
              <w:left w:val="nil"/>
              <w:bottom w:val="nil"/>
              <w:right w:val="nil"/>
            </w:tcBorders>
            <w:shd w:val="clear" w:color="auto" w:fill="auto"/>
            <w:vAlign w:val="center"/>
          </w:tcPr>
          <w:p w14:paraId="4D7C3EF8">
            <w:pPr>
              <w:rPr>
                <w:rFonts w:hint="eastAsia" w:ascii="宋体" w:hAnsi="宋体" w:eastAsia="宋体" w:cs="宋体"/>
                <w:i w:val="0"/>
                <w:iCs w:val="0"/>
                <w:color w:val="000000"/>
                <w:sz w:val="18"/>
                <w:szCs w:val="18"/>
                <w:u w:val="none"/>
              </w:rPr>
            </w:pPr>
          </w:p>
        </w:tc>
        <w:tc>
          <w:tcPr>
            <w:tcW w:w="505" w:type="dxa"/>
            <w:tcBorders>
              <w:top w:val="nil"/>
              <w:left w:val="nil"/>
              <w:bottom w:val="nil"/>
              <w:right w:val="nil"/>
            </w:tcBorders>
            <w:shd w:val="clear" w:color="auto" w:fill="auto"/>
            <w:vAlign w:val="center"/>
          </w:tcPr>
          <w:p w14:paraId="17DD267D">
            <w:pPr>
              <w:rPr>
                <w:rFonts w:hint="eastAsia" w:ascii="宋体" w:hAnsi="宋体" w:eastAsia="宋体" w:cs="宋体"/>
                <w:i w:val="0"/>
                <w:iCs w:val="0"/>
                <w:color w:val="000000"/>
                <w:sz w:val="18"/>
                <w:szCs w:val="18"/>
                <w:u w:val="none"/>
              </w:rPr>
            </w:pPr>
          </w:p>
        </w:tc>
        <w:tc>
          <w:tcPr>
            <w:tcW w:w="456" w:type="dxa"/>
            <w:tcBorders>
              <w:top w:val="nil"/>
              <w:left w:val="nil"/>
              <w:bottom w:val="nil"/>
              <w:right w:val="nil"/>
            </w:tcBorders>
            <w:shd w:val="clear" w:color="auto" w:fill="auto"/>
            <w:vAlign w:val="center"/>
          </w:tcPr>
          <w:p w14:paraId="57B1EF36">
            <w:pPr>
              <w:rPr>
                <w:rFonts w:hint="eastAsia" w:ascii="宋体" w:hAnsi="宋体" w:eastAsia="宋体" w:cs="宋体"/>
                <w:i w:val="0"/>
                <w:iCs w:val="0"/>
                <w:color w:val="000000"/>
                <w:sz w:val="18"/>
                <w:szCs w:val="18"/>
                <w:u w:val="none"/>
              </w:rPr>
            </w:pPr>
          </w:p>
        </w:tc>
        <w:tc>
          <w:tcPr>
            <w:tcW w:w="2557" w:type="dxa"/>
            <w:tcBorders>
              <w:top w:val="nil"/>
              <w:left w:val="nil"/>
              <w:bottom w:val="nil"/>
              <w:right w:val="nil"/>
            </w:tcBorders>
            <w:shd w:val="clear" w:color="auto" w:fill="auto"/>
            <w:vAlign w:val="center"/>
          </w:tcPr>
          <w:p w14:paraId="327C1020">
            <w:pPr>
              <w:rPr>
                <w:rFonts w:hint="eastAsia" w:ascii="宋体" w:hAnsi="宋体" w:eastAsia="宋体" w:cs="宋体"/>
                <w:i w:val="0"/>
                <w:iCs w:val="0"/>
                <w:color w:val="000000"/>
                <w:sz w:val="18"/>
                <w:szCs w:val="18"/>
                <w:u w:val="none"/>
              </w:rPr>
            </w:pPr>
          </w:p>
        </w:tc>
      </w:tr>
      <w:tr w14:paraId="1B620E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684" w:type="dxa"/>
            <w:tcBorders>
              <w:top w:val="nil"/>
              <w:left w:val="nil"/>
              <w:bottom w:val="nil"/>
              <w:right w:val="nil"/>
            </w:tcBorders>
            <w:shd w:val="clear" w:color="auto" w:fill="auto"/>
            <w:vAlign w:val="center"/>
          </w:tcPr>
          <w:p w14:paraId="093BF6EF">
            <w:pPr>
              <w:rPr>
                <w:rFonts w:hint="eastAsia" w:ascii="宋体" w:hAnsi="宋体" w:eastAsia="宋体" w:cs="宋体"/>
                <w:i w:val="0"/>
                <w:iCs w:val="0"/>
                <w:color w:val="000000"/>
                <w:sz w:val="18"/>
                <w:szCs w:val="18"/>
                <w:u w:val="none"/>
              </w:rPr>
            </w:pPr>
          </w:p>
        </w:tc>
        <w:tc>
          <w:tcPr>
            <w:tcW w:w="2052" w:type="dxa"/>
            <w:tcBorders>
              <w:top w:val="nil"/>
              <w:left w:val="nil"/>
              <w:bottom w:val="nil"/>
              <w:right w:val="nil"/>
            </w:tcBorders>
            <w:shd w:val="clear" w:color="auto" w:fill="auto"/>
            <w:vAlign w:val="center"/>
          </w:tcPr>
          <w:p w14:paraId="0A663587">
            <w:pPr>
              <w:rPr>
                <w:rFonts w:hint="eastAsia" w:ascii="宋体" w:hAnsi="宋体" w:eastAsia="宋体" w:cs="宋体"/>
                <w:i w:val="0"/>
                <w:iCs w:val="0"/>
                <w:color w:val="000000"/>
                <w:sz w:val="18"/>
                <w:szCs w:val="18"/>
                <w:u w:val="none"/>
              </w:rPr>
            </w:pPr>
          </w:p>
        </w:tc>
        <w:tc>
          <w:tcPr>
            <w:tcW w:w="1775" w:type="dxa"/>
            <w:tcBorders>
              <w:top w:val="nil"/>
              <w:left w:val="nil"/>
              <w:bottom w:val="nil"/>
              <w:right w:val="nil"/>
            </w:tcBorders>
            <w:shd w:val="clear" w:color="auto" w:fill="auto"/>
            <w:vAlign w:val="center"/>
          </w:tcPr>
          <w:p w14:paraId="5B0119AA">
            <w:pPr>
              <w:rPr>
                <w:rFonts w:hint="eastAsia" w:ascii="宋体" w:hAnsi="宋体" w:eastAsia="宋体" w:cs="宋体"/>
                <w:i w:val="0"/>
                <w:iCs w:val="0"/>
                <w:color w:val="000000"/>
                <w:sz w:val="18"/>
                <w:szCs w:val="18"/>
                <w:u w:val="none"/>
              </w:rPr>
            </w:pPr>
          </w:p>
        </w:tc>
        <w:tc>
          <w:tcPr>
            <w:tcW w:w="2264" w:type="dxa"/>
            <w:tcBorders>
              <w:top w:val="nil"/>
              <w:left w:val="nil"/>
              <w:bottom w:val="nil"/>
              <w:right w:val="nil"/>
            </w:tcBorders>
            <w:shd w:val="clear" w:color="auto" w:fill="auto"/>
            <w:vAlign w:val="center"/>
          </w:tcPr>
          <w:p w14:paraId="02FFD076">
            <w:pPr>
              <w:rPr>
                <w:rFonts w:hint="eastAsia" w:ascii="宋体" w:hAnsi="宋体" w:eastAsia="宋体" w:cs="宋体"/>
                <w:i w:val="0"/>
                <w:iCs w:val="0"/>
                <w:color w:val="000000"/>
                <w:sz w:val="18"/>
                <w:szCs w:val="18"/>
                <w:u w:val="none"/>
              </w:rPr>
            </w:pPr>
          </w:p>
        </w:tc>
        <w:tc>
          <w:tcPr>
            <w:tcW w:w="521" w:type="dxa"/>
            <w:tcBorders>
              <w:top w:val="nil"/>
              <w:left w:val="nil"/>
              <w:bottom w:val="nil"/>
              <w:right w:val="nil"/>
            </w:tcBorders>
            <w:shd w:val="clear" w:color="auto" w:fill="auto"/>
            <w:vAlign w:val="center"/>
          </w:tcPr>
          <w:p w14:paraId="3A1B6C30">
            <w:pPr>
              <w:rPr>
                <w:rFonts w:hint="eastAsia" w:ascii="宋体" w:hAnsi="宋体" w:eastAsia="宋体" w:cs="宋体"/>
                <w:i w:val="0"/>
                <w:iCs w:val="0"/>
                <w:color w:val="000000"/>
                <w:sz w:val="18"/>
                <w:szCs w:val="18"/>
                <w:u w:val="none"/>
              </w:rPr>
            </w:pPr>
          </w:p>
        </w:tc>
        <w:tc>
          <w:tcPr>
            <w:tcW w:w="1677" w:type="dxa"/>
            <w:tcBorders>
              <w:top w:val="nil"/>
              <w:left w:val="nil"/>
              <w:bottom w:val="nil"/>
              <w:right w:val="nil"/>
            </w:tcBorders>
            <w:shd w:val="clear" w:color="auto" w:fill="auto"/>
            <w:vAlign w:val="center"/>
          </w:tcPr>
          <w:p w14:paraId="054AB724">
            <w:pPr>
              <w:rPr>
                <w:rFonts w:hint="eastAsia" w:ascii="宋体" w:hAnsi="宋体" w:eastAsia="宋体" w:cs="宋体"/>
                <w:i w:val="0"/>
                <w:iCs w:val="0"/>
                <w:color w:val="000000"/>
                <w:sz w:val="18"/>
                <w:szCs w:val="18"/>
                <w:u w:val="none"/>
              </w:rPr>
            </w:pPr>
          </w:p>
        </w:tc>
        <w:tc>
          <w:tcPr>
            <w:tcW w:w="521" w:type="dxa"/>
            <w:tcBorders>
              <w:top w:val="nil"/>
              <w:left w:val="nil"/>
              <w:bottom w:val="nil"/>
              <w:right w:val="nil"/>
            </w:tcBorders>
            <w:shd w:val="clear" w:color="auto" w:fill="auto"/>
            <w:vAlign w:val="center"/>
          </w:tcPr>
          <w:p w14:paraId="6AA5B1BD">
            <w:pPr>
              <w:rPr>
                <w:rFonts w:hint="eastAsia" w:ascii="宋体" w:hAnsi="宋体" w:eastAsia="宋体" w:cs="宋体"/>
                <w:i w:val="0"/>
                <w:iCs w:val="0"/>
                <w:color w:val="000000"/>
                <w:sz w:val="18"/>
                <w:szCs w:val="18"/>
                <w:u w:val="none"/>
              </w:rPr>
            </w:pPr>
          </w:p>
        </w:tc>
        <w:tc>
          <w:tcPr>
            <w:tcW w:w="1091" w:type="dxa"/>
            <w:tcBorders>
              <w:top w:val="nil"/>
              <w:left w:val="nil"/>
              <w:bottom w:val="nil"/>
              <w:right w:val="nil"/>
            </w:tcBorders>
            <w:shd w:val="clear" w:color="auto" w:fill="auto"/>
            <w:vAlign w:val="center"/>
          </w:tcPr>
          <w:p w14:paraId="394627B1">
            <w:pPr>
              <w:rPr>
                <w:rFonts w:hint="eastAsia" w:ascii="宋体" w:hAnsi="宋体" w:eastAsia="宋体" w:cs="宋体"/>
                <w:i w:val="0"/>
                <w:iCs w:val="0"/>
                <w:color w:val="000000"/>
                <w:sz w:val="18"/>
                <w:szCs w:val="18"/>
                <w:u w:val="none"/>
              </w:rPr>
            </w:pPr>
          </w:p>
        </w:tc>
        <w:tc>
          <w:tcPr>
            <w:tcW w:w="505" w:type="dxa"/>
            <w:tcBorders>
              <w:top w:val="nil"/>
              <w:left w:val="nil"/>
              <w:bottom w:val="nil"/>
              <w:right w:val="nil"/>
            </w:tcBorders>
            <w:shd w:val="clear" w:color="auto" w:fill="auto"/>
            <w:vAlign w:val="center"/>
          </w:tcPr>
          <w:p w14:paraId="249E4A29">
            <w:pPr>
              <w:rPr>
                <w:rFonts w:hint="eastAsia" w:ascii="宋体" w:hAnsi="宋体" w:eastAsia="宋体" w:cs="宋体"/>
                <w:i w:val="0"/>
                <w:iCs w:val="0"/>
                <w:color w:val="000000"/>
                <w:sz w:val="18"/>
                <w:szCs w:val="18"/>
                <w:u w:val="none"/>
              </w:rPr>
            </w:pPr>
          </w:p>
        </w:tc>
        <w:tc>
          <w:tcPr>
            <w:tcW w:w="456" w:type="dxa"/>
            <w:tcBorders>
              <w:top w:val="nil"/>
              <w:left w:val="nil"/>
              <w:bottom w:val="nil"/>
              <w:right w:val="nil"/>
            </w:tcBorders>
            <w:shd w:val="clear" w:color="auto" w:fill="auto"/>
            <w:vAlign w:val="center"/>
          </w:tcPr>
          <w:p w14:paraId="295E2DBA">
            <w:pPr>
              <w:rPr>
                <w:rFonts w:hint="eastAsia" w:ascii="宋体" w:hAnsi="宋体" w:eastAsia="宋体" w:cs="宋体"/>
                <w:i w:val="0"/>
                <w:iCs w:val="0"/>
                <w:color w:val="000000"/>
                <w:sz w:val="18"/>
                <w:szCs w:val="18"/>
                <w:u w:val="none"/>
              </w:rPr>
            </w:pPr>
          </w:p>
        </w:tc>
        <w:tc>
          <w:tcPr>
            <w:tcW w:w="2557" w:type="dxa"/>
            <w:tcBorders>
              <w:top w:val="nil"/>
              <w:left w:val="nil"/>
              <w:bottom w:val="nil"/>
              <w:right w:val="nil"/>
            </w:tcBorders>
            <w:shd w:val="clear" w:color="auto" w:fill="auto"/>
            <w:vAlign w:val="center"/>
          </w:tcPr>
          <w:p w14:paraId="42147553">
            <w:pPr>
              <w:rPr>
                <w:rFonts w:hint="eastAsia" w:ascii="宋体" w:hAnsi="宋体" w:eastAsia="宋体" w:cs="宋体"/>
                <w:i w:val="0"/>
                <w:iCs w:val="0"/>
                <w:color w:val="000000"/>
                <w:sz w:val="18"/>
                <w:szCs w:val="18"/>
                <w:u w:val="none"/>
              </w:rPr>
            </w:pPr>
          </w:p>
        </w:tc>
      </w:tr>
      <w:tr w14:paraId="111186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4" w:hRule="atLeast"/>
        </w:trPr>
        <w:tc>
          <w:tcPr>
            <w:tcW w:w="14103"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1D2D4086">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709DEB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2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87AF8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11367"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6FBE1C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51050024R000010197607-年初预算人员支出（保工资）</w:t>
            </w:r>
          </w:p>
        </w:tc>
      </w:tr>
      <w:tr w14:paraId="66FCD9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2" w:hRule="atLeast"/>
        </w:trPr>
        <w:tc>
          <w:tcPr>
            <w:tcW w:w="2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3BBD4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675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D0FB7B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市政法部门</w:t>
            </w:r>
          </w:p>
        </w:tc>
        <w:tc>
          <w:tcPr>
            <w:tcW w:w="1091" w:type="dxa"/>
            <w:tcBorders>
              <w:top w:val="nil"/>
              <w:left w:val="nil"/>
              <w:bottom w:val="nil"/>
              <w:right w:val="nil"/>
            </w:tcBorders>
            <w:shd w:val="clear" w:color="auto" w:fill="auto"/>
            <w:vAlign w:val="center"/>
          </w:tcPr>
          <w:p w14:paraId="701E32DA">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1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A7C6CC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中国共产党泸州市委员会政法委员会</w:t>
            </w:r>
          </w:p>
        </w:tc>
      </w:tr>
      <w:tr w14:paraId="4E9372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8CCCD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20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F3891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675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B37E09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60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C0188B4">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594EB8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8"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B11F9A">
            <w:pP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B0F071">
            <w:pPr>
              <w:rPr>
                <w:rFonts w:hint="eastAsia" w:ascii="宋体" w:hAnsi="宋体" w:eastAsia="宋体" w:cs="宋体"/>
                <w:i w:val="0"/>
                <w:iCs w:val="0"/>
                <w:color w:val="000000"/>
                <w:sz w:val="18"/>
                <w:szCs w:val="18"/>
                <w:u w:val="none"/>
              </w:rPr>
            </w:pPr>
          </w:p>
        </w:tc>
        <w:tc>
          <w:tcPr>
            <w:tcW w:w="675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E0A202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严格执行相关政策，保障工资及时、足额发放或社保及时、足额缴纳，预算编制科学合理，减少结余资金。</w:t>
            </w:r>
          </w:p>
        </w:tc>
        <w:tc>
          <w:tcPr>
            <w:tcW w:w="460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392226A">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对照年度目标，说明相关任务目标的完成情况（100字以内）</w:t>
            </w:r>
          </w:p>
        </w:tc>
      </w:tr>
      <w:tr w14:paraId="6ADAA4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3"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11F5AD">
            <w:pP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655D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11367"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003D971">
            <w:pPr>
              <w:rPr>
                <w:rFonts w:hint="eastAsia" w:ascii="宋体" w:hAnsi="宋体" w:eastAsia="宋体" w:cs="宋体"/>
                <w:i w:val="0"/>
                <w:iCs w:val="0"/>
                <w:color w:val="000000"/>
                <w:sz w:val="18"/>
                <w:szCs w:val="18"/>
                <w:u w:val="none"/>
              </w:rPr>
            </w:pPr>
          </w:p>
        </w:tc>
      </w:tr>
      <w:tr w14:paraId="1B0B20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1"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D4F30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3CC5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3CE3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B0DC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B2AC12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0FE8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4A58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77F0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EAE6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64EC45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6"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E56DFA">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766E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57BE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1,237.72</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5684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1,224.97</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6E419F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1,222.92</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A6F2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99.83%</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E234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669AB">
            <w:pPr>
              <w:jc w:val="center"/>
              <w:rPr>
                <w:rFonts w:hint="eastAsia" w:ascii="宋体" w:hAnsi="宋体" w:eastAsia="宋体" w:cs="宋体"/>
                <w:i w:val="0"/>
                <w:iCs w:val="0"/>
                <w:color w:val="000000"/>
                <w:sz w:val="18"/>
                <w:szCs w:val="18"/>
                <w:u w:val="none"/>
              </w:rPr>
            </w:pPr>
          </w:p>
        </w:tc>
        <w:tc>
          <w:tcPr>
            <w:tcW w:w="25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DC62AA">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07F800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1"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A44726">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3333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FDD6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1,237.72</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294D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1,224.97</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AF726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1,222.92</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7C9E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99.83%</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12AD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414D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D748FD">
            <w:pPr>
              <w:rPr>
                <w:rFonts w:hint="eastAsia" w:ascii="黑体" w:hAnsi="黑体" w:eastAsia="黑体" w:cs="黑体"/>
                <w:i/>
                <w:iCs/>
                <w:color w:val="000000"/>
                <w:sz w:val="18"/>
                <w:szCs w:val="18"/>
                <w:u w:val="none"/>
              </w:rPr>
            </w:pPr>
          </w:p>
        </w:tc>
      </w:tr>
      <w:tr w14:paraId="4CE88A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74E62E">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A5AA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56BB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346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78893A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660D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525F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A4D4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6C9C48">
            <w:pPr>
              <w:rPr>
                <w:rFonts w:hint="eastAsia" w:ascii="黑体" w:hAnsi="黑体" w:eastAsia="黑体" w:cs="黑体"/>
                <w:i/>
                <w:iCs/>
                <w:color w:val="000000"/>
                <w:sz w:val="18"/>
                <w:szCs w:val="18"/>
                <w:u w:val="none"/>
              </w:rPr>
            </w:pPr>
          </w:p>
        </w:tc>
      </w:tr>
      <w:tr w14:paraId="45F8BA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1"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0C9C57">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5799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45D1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DAB6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935D8E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7760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B8B6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E231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1002C1">
            <w:pPr>
              <w:rPr>
                <w:rFonts w:hint="eastAsia" w:ascii="黑体" w:hAnsi="黑体" w:eastAsia="黑体" w:cs="黑体"/>
                <w:i/>
                <w:iCs/>
                <w:color w:val="000000"/>
                <w:sz w:val="18"/>
                <w:szCs w:val="18"/>
                <w:u w:val="none"/>
              </w:rPr>
            </w:pPr>
          </w:p>
        </w:tc>
      </w:tr>
      <w:tr w14:paraId="5332EF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5B77D4">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BE6F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B23B4">
            <w:pPr>
              <w:jc w:val="center"/>
              <w:rPr>
                <w:rFonts w:hint="eastAsia" w:ascii="微软雅黑" w:hAnsi="微软雅黑" w:eastAsia="微软雅黑" w:cs="微软雅黑"/>
                <w:i/>
                <w:iCs/>
                <w:color w:val="000000"/>
                <w:sz w:val="16"/>
                <w:szCs w:val="16"/>
                <w:u w:val="none"/>
              </w:rPr>
            </w:pP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71079">
            <w:pPr>
              <w:jc w:val="center"/>
              <w:rPr>
                <w:rFonts w:hint="eastAsia" w:ascii="微软雅黑" w:hAnsi="微软雅黑" w:eastAsia="微软雅黑" w:cs="微软雅黑"/>
                <w:i/>
                <w:iCs/>
                <w:color w:val="000000"/>
                <w:sz w:val="16"/>
                <w:szCs w:val="16"/>
                <w:u w:val="none"/>
              </w:rPr>
            </w:pP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DC2F1A7">
            <w:pPr>
              <w:jc w:val="center"/>
              <w:rPr>
                <w:rFonts w:hint="eastAsia" w:ascii="微软雅黑" w:hAnsi="微软雅黑" w:eastAsia="微软雅黑" w:cs="微软雅黑"/>
                <w:i/>
                <w:iCs/>
                <w:color w:val="000000"/>
                <w:sz w:val="16"/>
                <w:szCs w:val="16"/>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787EA">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A915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60C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BDAA14">
            <w:pPr>
              <w:rPr>
                <w:rFonts w:hint="eastAsia" w:ascii="黑体" w:hAnsi="黑体" w:eastAsia="黑体" w:cs="黑体"/>
                <w:i/>
                <w:iCs/>
                <w:color w:val="000000"/>
                <w:sz w:val="18"/>
                <w:szCs w:val="18"/>
                <w:u w:val="none"/>
              </w:rPr>
            </w:pPr>
          </w:p>
        </w:tc>
      </w:tr>
      <w:tr w14:paraId="417C1A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83AE7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8CD7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89B5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6C86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0970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C9FD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158C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3598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4FD5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9997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99B8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37CB53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8C6F1F">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8DD3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2E8C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6086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发放（缴纳）覆盖率</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39FD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B136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5A98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93A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DF29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B244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60</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3ED03">
            <w:pPr>
              <w:jc w:val="center"/>
              <w:rPr>
                <w:rFonts w:hint="eastAsia" w:ascii="微软雅黑" w:hAnsi="微软雅黑" w:eastAsia="微软雅黑" w:cs="微软雅黑"/>
                <w:i/>
                <w:iCs/>
                <w:color w:val="000000"/>
                <w:sz w:val="16"/>
                <w:szCs w:val="16"/>
                <w:u w:val="none"/>
              </w:rPr>
            </w:pPr>
          </w:p>
        </w:tc>
      </w:tr>
      <w:tr w14:paraId="04FF40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451F5C">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10C2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F7C5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C586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足额保障率（参保率）</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A1D5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8082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2FF1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2B4F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A054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655E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466E4">
            <w:pPr>
              <w:jc w:val="center"/>
              <w:rPr>
                <w:rFonts w:hint="eastAsia" w:ascii="微软雅黑" w:hAnsi="微软雅黑" w:eastAsia="微软雅黑" w:cs="微软雅黑"/>
                <w:i/>
                <w:iCs/>
                <w:color w:val="000000"/>
                <w:sz w:val="16"/>
                <w:szCs w:val="16"/>
                <w:u w:val="none"/>
              </w:rPr>
            </w:pPr>
          </w:p>
        </w:tc>
      </w:tr>
      <w:tr w14:paraId="4444FC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1058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F45355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F92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758F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2E09B">
            <w:pPr>
              <w:rPr>
                <w:rFonts w:hint="eastAsia" w:ascii="宋体" w:hAnsi="宋体" w:eastAsia="宋体" w:cs="宋体"/>
                <w:i w:val="0"/>
                <w:iCs w:val="0"/>
                <w:color w:val="000000"/>
                <w:sz w:val="18"/>
                <w:szCs w:val="18"/>
                <w:u w:val="none"/>
              </w:rPr>
            </w:pPr>
          </w:p>
        </w:tc>
      </w:tr>
      <w:tr w14:paraId="42B92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A4DE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134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C9636AA">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结合自评情况，说明项目自评总分，说明项目实施取得的成效或成果。（200字以内）</w:t>
            </w:r>
          </w:p>
        </w:tc>
      </w:tr>
      <w:tr w14:paraId="51BC2A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2"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2E89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134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1751466">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结合自评情况，分析存在的问题及原因。（200字以内）</w:t>
            </w:r>
          </w:p>
        </w:tc>
      </w:tr>
      <w:tr w14:paraId="660CEF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C444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134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7D3935F">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针对项目自评中发现的问题，提出下一步改进完善的意见及有关政策性建议。（200字以内）</w:t>
            </w:r>
          </w:p>
        </w:tc>
      </w:tr>
      <w:tr w14:paraId="23E899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729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B5D20A8">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项目负责人：赵兴梅</w:t>
            </w:r>
          </w:p>
        </w:tc>
        <w:tc>
          <w:tcPr>
            <w:tcW w:w="680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B9BB6B4">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财务负责人：王良洪</w:t>
            </w:r>
          </w:p>
        </w:tc>
      </w:tr>
      <w:tr w14:paraId="180D56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684" w:type="dxa"/>
            <w:tcBorders>
              <w:top w:val="nil"/>
              <w:left w:val="nil"/>
              <w:bottom w:val="nil"/>
              <w:right w:val="nil"/>
            </w:tcBorders>
            <w:shd w:val="clear" w:color="auto" w:fill="auto"/>
            <w:vAlign w:val="center"/>
          </w:tcPr>
          <w:p w14:paraId="77828798">
            <w:pPr>
              <w:rPr>
                <w:rFonts w:hint="eastAsia" w:ascii="宋体" w:hAnsi="宋体" w:eastAsia="宋体" w:cs="宋体"/>
                <w:i w:val="0"/>
                <w:iCs w:val="0"/>
                <w:color w:val="000000"/>
                <w:sz w:val="18"/>
                <w:szCs w:val="18"/>
                <w:u w:val="none"/>
              </w:rPr>
            </w:pPr>
          </w:p>
        </w:tc>
        <w:tc>
          <w:tcPr>
            <w:tcW w:w="2052" w:type="dxa"/>
            <w:tcBorders>
              <w:top w:val="nil"/>
              <w:left w:val="nil"/>
              <w:bottom w:val="nil"/>
              <w:right w:val="nil"/>
            </w:tcBorders>
            <w:shd w:val="clear" w:color="auto" w:fill="auto"/>
            <w:vAlign w:val="center"/>
          </w:tcPr>
          <w:p w14:paraId="6056058F">
            <w:pPr>
              <w:rPr>
                <w:rFonts w:hint="eastAsia" w:ascii="宋体" w:hAnsi="宋体" w:eastAsia="宋体" w:cs="宋体"/>
                <w:i w:val="0"/>
                <w:iCs w:val="0"/>
                <w:color w:val="000000"/>
                <w:sz w:val="18"/>
                <w:szCs w:val="18"/>
                <w:u w:val="none"/>
              </w:rPr>
            </w:pPr>
          </w:p>
          <w:p w14:paraId="6D986316">
            <w:pPr>
              <w:rPr>
                <w:rFonts w:hint="eastAsia" w:ascii="宋体" w:hAnsi="宋体" w:eastAsia="宋体" w:cs="宋体"/>
                <w:i w:val="0"/>
                <w:iCs w:val="0"/>
                <w:color w:val="000000"/>
                <w:sz w:val="18"/>
                <w:szCs w:val="18"/>
                <w:u w:val="none"/>
              </w:rPr>
            </w:pPr>
          </w:p>
          <w:p w14:paraId="1A0182C7">
            <w:pPr>
              <w:rPr>
                <w:rFonts w:hint="eastAsia" w:ascii="宋体" w:hAnsi="宋体" w:eastAsia="宋体" w:cs="宋体"/>
                <w:i w:val="0"/>
                <w:iCs w:val="0"/>
                <w:color w:val="000000"/>
                <w:sz w:val="18"/>
                <w:szCs w:val="18"/>
                <w:u w:val="none"/>
              </w:rPr>
            </w:pPr>
          </w:p>
          <w:p w14:paraId="29C8D789">
            <w:pPr>
              <w:rPr>
                <w:rFonts w:hint="eastAsia" w:ascii="宋体" w:hAnsi="宋体" w:eastAsia="宋体" w:cs="宋体"/>
                <w:i w:val="0"/>
                <w:iCs w:val="0"/>
                <w:color w:val="000000"/>
                <w:sz w:val="18"/>
                <w:szCs w:val="18"/>
                <w:u w:val="none"/>
              </w:rPr>
            </w:pPr>
          </w:p>
          <w:p w14:paraId="4BA503AC">
            <w:pPr>
              <w:rPr>
                <w:rFonts w:hint="eastAsia" w:ascii="宋体" w:hAnsi="宋体" w:eastAsia="宋体" w:cs="宋体"/>
                <w:i w:val="0"/>
                <w:iCs w:val="0"/>
                <w:color w:val="000000"/>
                <w:sz w:val="18"/>
                <w:szCs w:val="18"/>
                <w:u w:val="none"/>
              </w:rPr>
            </w:pPr>
          </w:p>
          <w:p w14:paraId="46E459CA">
            <w:pPr>
              <w:rPr>
                <w:rFonts w:hint="eastAsia" w:ascii="宋体" w:hAnsi="宋体" w:eastAsia="宋体" w:cs="宋体"/>
                <w:i w:val="0"/>
                <w:iCs w:val="0"/>
                <w:color w:val="000000"/>
                <w:sz w:val="18"/>
                <w:szCs w:val="18"/>
                <w:u w:val="none"/>
              </w:rPr>
            </w:pPr>
          </w:p>
          <w:p w14:paraId="4DF5E32B">
            <w:pPr>
              <w:rPr>
                <w:rFonts w:hint="eastAsia" w:ascii="宋体" w:hAnsi="宋体" w:eastAsia="宋体" w:cs="宋体"/>
                <w:i w:val="0"/>
                <w:iCs w:val="0"/>
                <w:color w:val="000000"/>
                <w:sz w:val="18"/>
                <w:szCs w:val="18"/>
                <w:u w:val="none"/>
              </w:rPr>
            </w:pPr>
          </w:p>
          <w:p w14:paraId="75C30BAE">
            <w:pPr>
              <w:rPr>
                <w:rFonts w:hint="eastAsia" w:ascii="宋体" w:hAnsi="宋体" w:eastAsia="宋体" w:cs="宋体"/>
                <w:i w:val="0"/>
                <w:iCs w:val="0"/>
                <w:color w:val="000000"/>
                <w:sz w:val="18"/>
                <w:szCs w:val="18"/>
                <w:u w:val="none"/>
              </w:rPr>
            </w:pPr>
          </w:p>
          <w:p w14:paraId="667DB9DD">
            <w:pPr>
              <w:rPr>
                <w:rFonts w:hint="eastAsia" w:ascii="宋体" w:hAnsi="宋体" w:eastAsia="宋体" w:cs="宋体"/>
                <w:i w:val="0"/>
                <w:iCs w:val="0"/>
                <w:color w:val="000000"/>
                <w:sz w:val="18"/>
                <w:szCs w:val="18"/>
                <w:u w:val="none"/>
              </w:rPr>
            </w:pPr>
          </w:p>
          <w:p w14:paraId="7FA06BBF">
            <w:pPr>
              <w:rPr>
                <w:rFonts w:hint="eastAsia" w:ascii="宋体" w:hAnsi="宋体" w:eastAsia="宋体" w:cs="宋体"/>
                <w:i w:val="0"/>
                <w:iCs w:val="0"/>
                <w:color w:val="000000"/>
                <w:sz w:val="18"/>
                <w:szCs w:val="18"/>
                <w:u w:val="none"/>
              </w:rPr>
            </w:pPr>
          </w:p>
          <w:p w14:paraId="6CFA8D8B">
            <w:pPr>
              <w:rPr>
                <w:rFonts w:hint="eastAsia" w:ascii="宋体" w:hAnsi="宋体" w:eastAsia="宋体" w:cs="宋体"/>
                <w:i w:val="0"/>
                <w:iCs w:val="0"/>
                <w:color w:val="000000"/>
                <w:sz w:val="18"/>
                <w:szCs w:val="18"/>
                <w:u w:val="none"/>
              </w:rPr>
            </w:pPr>
          </w:p>
          <w:p w14:paraId="76F1F627">
            <w:pPr>
              <w:rPr>
                <w:rFonts w:hint="eastAsia" w:ascii="宋体" w:hAnsi="宋体" w:eastAsia="宋体" w:cs="宋体"/>
                <w:i w:val="0"/>
                <w:iCs w:val="0"/>
                <w:color w:val="000000"/>
                <w:sz w:val="18"/>
                <w:szCs w:val="18"/>
                <w:u w:val="none"/>
              </w:rPr>
            </w:pPr>
          </w:p>
          <w:p w14:paraId="26F882A9">
            <w:pPr>
              <w:rPr>
                <w:rFonts w:hint="eastAsia" w:ascii="宋体" w:hAnsi="宋体" w:eastAsia="宋体" w:cs="宋体"/>
                <w:i w:val="0"/>
                <w:iCs w:val="0"/>
                <w:color w:val="000000"/>
                <w:sz w:val="18"/>
                <w:szCs w:val="18"/>
                <w:u w:val="none"/>
              </w:rPr>
            </w:pPr>
          </w:p>
          <w:p w14:paraId="7276F61D">
            <w:pPr>
              <w:rPr>
                <w:rFonts w:hint="eastAsia" w:ascii="宋体" w:hAnsi="宋体" w:eastAsia="宋体" w:cs="宋体"/>
                <w:i w:val="0"/>
                <w:iCs w:val="0"/>
                <w:color w:val="000000"/>
                <w:sz w:val="18"/>
                <w:szCs w:val="18"/>
                <w:u w:val="none"/>
              </w:rPr>
            </w:pPr>
          </w:p>
          <w:p w14:paraId="62940A39">
            <w:pPr>
              <w:rPr>
                <w:rFonts w:hint="eastAsia" w:ascii="宋体" w:hAnsi="宋体" w:eastAsia="宋体" w:cs="宋体"/>
                <w:i w:val="0"/>
                <w:iCs w:val="0"/>
                <w:color w:val="000000"/>
                <w:sz w:val="18"/>
                <w:szCs w:val="18"/>
                <w:u w:val="none"/>
              </w:rPr>
            </w:pPr>
          </w:p>
          <w:p w14:paraId="196D1B3F">
            <w:pPr>
              <w:rPr>
                <w:rFonts w:hint="eastAsia" w:ascii="宋体" w:hAnsi="宋体" w:eastAsia="宋体" w:cs="宋体"/>
                <w:i w:val="0"/>
                <w:iCs w:val="0"/>
                <w:color w:val="000000"/>
                <w:sz w:val="18"/>
                <w:szCs w:val="18"/>
                <w:u w:val="none"/>
              </w:rPr>
            </w:pPr>
          </w:p>
          <w:p w14:paraId="41C71E4D">
            <w:pPr>
              <w:rPr>
                <w:rFonts w:hint="eastAsia" w:ascii="宋体" w:hAnsi="宋体" w:eastAsia="宋体" w:cs="宋体"/>
                <w:i w:val="0"/>
                <w:iCs w:val="0"/>
                <w:color w:val="000000"/>
                <w:sz w:val="18"/>
                <w:szCs w:val="18"/>
                <w:u w:val="none"/>
              </w:rPr>
            </w:pPr>
          </w:p>
        </w:tc>
        <w:tc>
          <w:tcPr>
            <w:tcW w:w="1775" w:type="dxa"/>
            <w:tcBorders>
              <w:top w:val="nil"/>
              <w:left w:val="nil"/>
              <w:bottom w:val="nil"/>
              <w:right w:val="nil"/>
            </w:tcBorders>
            <w:shd w:val="clear" w:color="auto" w:fill="auto"/>
            <w:vAlign w:val="center"/>
          </w:tcPr>
          <w:p w14:paraId="7DF00FE1">
            <w:pPr>
              <w:rPr>
                <w:rFonts w:hint="eastAsia" w:ascii="宋体" w:hAnsi="宋体" w:eastAsia="宋体" w:cs="宋体"/>
                <w:i w:val="0"/>
                <w:iCs w:val="0"/>
                <w:color w:val="000000"/>
                <w:sz w:val="18"/>
                <w:szCs w:val="18"/>
                <w:u w:val="none"/>
              </w:rPr>
            </w:pPr>
          </w:p>
        </w:tc>
        <w:tc>
          <w:tcPr>
            <w:tcW w:w="2264" w:type="dxa"/>
            <w:tcBorders>
              <w:top w:val="nil"/>
              <w:left w:val="nil"/>
              <w:bottom w:val="nil"/>
              <w:right w:val="nil"/>
            </w:tcBorders>
            <w:shd w:val="clear" w:color="auto" w:fill="auto"/>
            <w:vAlign w:val="center"/>
          </w:tcPr>
          <w:p w14:paraId="57AF8CCF">
            <w:pPr>
              <w:rPr>
                <w:rFonts w:hint="eastAsia" w:ascii="宋体" w:hAnsi="宋体" w:eastAsia="宋体" w:cs="宋体"/>
                <w:i w:val="0"/>
                <w:iCs w:val="0"/>
                <w:color w:val="000000"/>
                <w:sz w:val="18"/>
                <w:szCs w:val="18"/>
                <w:u w:val="none"/>
              </w:rPr>
            </w:pPr>
          </w:p>
        </w:tc>
        <w:tc>
          <w:tcPr>
            <w:tcW w:w="521" w:type="dxa"/>
            <w:tcBorders>
              <w:top w:val="nil"/>
              <w:left w:val="nil"/>
              <w:bottom w:val="nil"/>
              <w:right w:val="nil"/>
            </w:tcBorders>
            <w:shd w:val="clear" w:color="auto" w:fill="auto"/>
            <w:vAlign w:val="center"/>
          </w:tcPr>
          <w:p w14:paraId="472342F5">
            <w:pPr>
              <w:rPr>
                <w:rFonts w:hint="eastAsia" w:ascii="宋体" w:hAnsi="宋体" w:eastAsia="宋体" w:cs="宋体"/>
                <w:i w:val="0"/>
                <w:iCs w:val="0"/>
                <w:color w:val="000000"/>
                <w:sz w:val="18"/>
                <w:szCs w:val="18"/>
                <w:u w:val="none"/>
              </w:rPr>
            </w:pPr>
          </w:p>
        </w:tc>
        <w:tc>
          <w:tcPr>
            <w:tcW w:w="1677" w:type="dxa"/>
            <w:tcBorders>
              <w:top w:val="nil"/>
              <w:left w:val="nil"/>
              <w:bottom w:val="nil"/>
              <w:right w:val="nil"/>
            </w:tcBorders>
            <w:shd w:val="clear" w:color="auto" w:fill="auto"/>
            <w:vAlign w:val="center"/>
          </w:tcPr>
          <w:p w14:paraId="63646B9F">
            <w:pPr>
              <w:rPr>
                <w:rFonts w:hint="eastAsia" w:ascii="宋体" w:hAnsi="宋体" w:eastAsia="宋体" w:cs="宋体"/>
                <w:i w:val="0"/>
                <w:iCs w:val="0"/>
                <w:color w:val="000000"/>
                <w:sz w:val="18"/>
                <w:szCs w:val="18"/>
                <w:u w:val="none"/>
              </w:rPr>
            </w:pPr>
          </w:p>
        </w:tc>
        <w:tc>
          <w:tcPr>
            <w:tcW w:w="521" w:type="dxa"/>
            <w:tcBorders>
              <w:top w:val="nil"/>
              <w:left w:val="nil"/>
              <w:bottom w:val="nil"/>
              <w:right w:val="nil"/>
            </w:tcBorders>
            <w:shd w:val="clear" w:color="auto" w:fill="auto"/>
            <w:vAlign w:val="center"/>
          </w:tcPr>
          <w:p w14:paraId="5A9A7962">
            <w:pPr>
              <w:rPr>
                <w:rFonts w:hint="eastAsia" w:ascii="宋体" w:hAnsi="宋体" w:eastAsia="宋体" w:cs="宋体"/>
                <w:i w:val="0"/>
                <w:iCs w:val="0"/>
                <w:color w:val="000000"/>
                <w:sz w:val="18"/>
                <w:szCs w:val="18"/>
                <w:u w:val="none"/>
              </w:rPr>
            </w:pPr>
          </w:p>
        </w:tc>
        <w:tc>
          <w:tcPr>
            <w:tcW w:w="1091" w:type="dxa"/>
            <w:tcBorders>
              <w:top w:val="nil"/>
              <w:left w:val="nil"/>
              <w:bottom w:val="nil"/>
              <w:right w:val="nil"/>
            </w:tcBorders>
            <w:shd w:val="clear" w:color="auto" w:fill="auto"/>
            <w:vAlign w:val="center"/>
          </w:tcPr>
          <w:p w14:paraId="79B8A222">
            <w:pPr>
              <w:rPr>
                <w:rFonts w:hint="eastAsia" w:ascii="宋体" w:hAnsi="宋体" w:eastAsia="宋体" w:cs="宋体"/>
                <w:i w:val="0"/>
                <w:iCs w:val="0"/>
                <w:color w:val="000000"/>
                <w:sz w:val="18"/>
                <w:szCs w:val="18"/>
                <w:u w:val="none"/>
              </w:rPr>
            </w:pPr>
          </w:p>
        </w:tc>
        <w:tc>
          <w:tcPr>
            <w:tcW w:w="505" w:type="dxa"/>
            <w:tcBorders>
              <w:top w:val="nil"/>
              <w:left w:val="nil"/>
              <w:bottom w:val="nil"/>
              <w:right w:val="nil"/>
            </w:tcBorders>
            <w:shd w:val="clear" w:color="auto" w:fill="auto"/>
            <w:vAlign w:val="center"/>
          </w:tcPr>
          <w:p w14:paraId="7093056C">
            <w:pPr>
              <w:rPr>
                <w:rFonts w:hint="eastAsia" w:ascii="宋体" w:hAnsi="宋体" w:eastAsia="宋体" w:cs="宋体"/>
                <w:i w:val="0"/>
                <w:iCs w:val="0"/>
                <w:color w:val="000000"/>
                <w:sz w:val="18"/>
                <w:szCs w:val="18"/>
                <w:u w:val="none"/>
              </w:rPr>
            </w:pPr>
          </w:p>
        </w:tc>
        <w:tc>
          <w:tcPr>
            <w:tcW w:w="456" w:type="dxa"/>
            <w:tcBorders>
              <w:top w:val="nil"/>
              <w:left w:val="nil"/>
              <w:bottom w:val="nil"/>
              <w:right w:val="nil"/>
            </w:tcBorders>
            <w:shd w:val="clear" w:color="auto" w:fill="auto"/>
            <w:vAlign w:val="center"/>
          </w:tcPr>
          <w:p w14:paraId="3C244559">
            <w:pPr>
              <w:rPr>
                <w:rFonts w:hint="eastAsia" w:ascii="宋体" w:hAnsi="宋体" w:eastAsia="宋体" w:cs="宋体"/>
                <w:i w:val="0"/>
                <w:iCs w:val="0"/>
                <w:color w:val="000000"/>
                <w:sz w:val="18"/>
                <w:szCs w:val="18"/>
                <w:u w:val="none"/>
              </w:rPr>
            </w:pPr>
          </w:p>
        </w:tc>
        <w:tc>
          <w:tcPr>
            <w:tcW w:w="2557" w:type="dxa"/>
            <w:tcBorders>
              <w:top w:val="nil"/>
              <w:left w:val="nil"/>
              <w:bottom w:val="nil"/>
              <w:right w:val="nil"/>
            </w:tcBorders>
            <w:shd w:val="clear" w:color="auto" w:fill="auto"/>
            <w:vAlign w:val="center"/>
          </w:tcPr>
          <w:p w14:paraId="58634E71">
            <w:pPr>
              <w:rPr>
                <w:rFonts w:hint="eastAsia" w:ascii="宋体" w:hAnsi="宋体" w:eastAsia="宋体" w:cs="宋体"/>
                <w:i w:val="0"/>
                <w:iCs w:val="0"/>
                <w:color w:val="000000"/>
                <w:sz w:val="18"/>
                <w:szCs w:val="18"/>
                <w:u w:val="none"/>
              </w:rPr>
            </w:pPr>
          </w:p>
        </w:tc>
      </w:tr>
      <w:tr w14:paraId="6DFA7C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4" w:hRule="atLeast"/>
        </w:trPr>
        <w:tc>
          <w:tcPr>
            <w:tcW w:w="14103"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4D585851">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33C7DF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2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216FB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11367"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E7536E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51050024R000010197884-年初预算人员支出（其他）</w:t>
            </w:r>
          </w:p>
        </w:tc>
      </w:tr>
      <w:tr w14:paraId="53E3E3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2" w:hRule="atLeast"/>
        </w:trPr>
        <w:tc>
          <w:tcPr>
            <w:tcW w:w="2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04271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675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829484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市政法部门</w:t>
            </w:r>
          </w:p>
        </w:tc>
        <w:tc>
          <w:tcPr>
            <w:tcW w:w="1091" w:type="dxa"/>
            <w:tcBorders>
              <w:top w:val="nil"/>
              <w:left w:val="nil"/>
              <w:bottom w:val="nil"/>
              <w:right w:val="nil"/>
            </w:tcBorders>
            <w:shd w:val="clear" w:color="auto" w:fill="auto"/>
            <w:vAlign w:val="center"/>
          </w:tcPr>
          <w:p w14:paraId="3A2D958E">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1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821AF1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中国共产党泸州市委员会政法委员会</w:t>
            </w:r>
          </w:p>
        </w:tc>
      </w:tr>
      <w:tr w14:paraId="7CEC28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E0D85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20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51B84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675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21BB1D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60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61A4547">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049E1D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8"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A4B534">
            <w:pP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383033">
            <w:pPr>
              <w:rPr>
                <w:rFonts w:hint="eastAsia" w:ascii="宋体" w:hAnsi="宋体" w:eastAsia="宋体" w:cs="宋体"/>
                <w:i w:val="0"/>
                <w:iCs w:val="0"/>
                <w:color w:val="000000"/>
                <w:sz w:val="18"/>
                <w:szCs w:val="18"/>
                <w:u w:val="none"/>
              </w:rPr>
            </w:pPr>
          </w:p>
        </w:tc>
        <w:tc>
          <w:tcPr>
            <w:tcW w:w="675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EA099B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严格执行相关政策，保障工资及时、足额发放或社保及时、足额缴纳，预算编制科学合理，减少结余资金。</w:t>
            </w:r>
          </w:p>
        </w:tc>
        <w:tc>
          <w:tcPr>
            <w:tcW w:w="460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F828AAC">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对照年度目标，说明相关任务目标的完成情况（100字以内）</w:t>
            </w:r>
          </w:p>
        </w:tc>
      </w:tr>
      <w:tr w14:paraId="5B5C97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3"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DCF49F">
            <w:pP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48EA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11367"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C104EE9">
            <w:pPr>
              <w:rPr>
                <w:rFonts w:hint="eastAsia" w:ascii="宋体" w:hAnsi="宋体" w:eastAsia="宋体" w:cs="宋体"/>
                <w:i w:val="0"/>
                <w:iCs w:val="0"/>
                <w:color w:val="000000"/>
                <w:sz w:val="18"/>
                <w:szCs w:val="18"/>
                <w:u w:val="none"/>
              </w:rPr>
            </w:pPr>
          </w:p>
        </w:tc>
      </w:tr>
      <w:tr w14:paraId="04B032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1"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BDC8D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7C0B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EC18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15FC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0286C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E71F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06EE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BDF3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198E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13F215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6"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FAD143">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7133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FFC3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43.09</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BC1F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43.09</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4261B7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42.47</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95F4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98.56%</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CD18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F172F">
            <w:pPr>
              <w:jc w:val="center"/>
              <w:rPr>
                <w:rFonts w:hint="eastAsia" w:ascii="宋体" w:hAnsi="宋体" w:eastAsia="宋体" w:cs="宋体"/>
                <w:i w:val="0"/>
                <w:iCs w:val="0"/>
                <w:color w:val="000000"/>
                <w:sz w:val="18"/>
                <w:szCs w:val="18"/>
                <w:u w:val="none"/>
              </w:rPr>
            </w:pPr>
          </w:p>
        </w:tc>
        <w:tc>
          <w:tcPr>
            <w:tcW w:w="25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6FF396">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7C9254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1"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8E2EC5">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2BBF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46F7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43.09</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BEC6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43.09</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C0C42B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42.47</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F3D7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98.56%</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5D3B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D1B2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ECC7BF">
            <w:pPr>
              <w:rPr>
                <w:rFonts w:hint="eastAsia" w:ascii="黑体" w:hAnsi="黑体" w:eastAsia="黑体" w:cs="黑体"/>
                <w:i/>
                <w:iCs/>
                <w:color w:val="000000"/>
                <w:sz w:val="18"/>
                <w:szCs w:val="18"/>
                <w:u w:val="none"/>
              </w:rPr>
            </w:pPr>
          </w:p>
        </w:tc>
      </w:tr>
      <w:tr w14:paraId="516B66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A87D43">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0B0A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857C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08D4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E065DA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46F9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D254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3AA4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58C631">
            <w:pPr>
              <w:rPr>
                <w:rFonts w:hint="eastAsia" w:ascii="黑体" w:hAnsi="黑体" w:eastAsia="黑体" w:cs="黑体"/>
                <w:i/>
                <w:iCs/>
                <w:color w:val="000000"/>
                <w:sz w:val="18"/>
                <w:szCs w:val="18"/>
                <w:u w:val="none"/>
              </w:rPr>
            </w:pPr>
          </w:p>
        </w:tc>
      </w:tr>
      <w:tr w14:paraId="13FE38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1"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A77B18">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1267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C0C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6C1C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E611CB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8A6B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5ED9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ED5F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F8F278">
            <w:pPr>
              <w:rPr>
                <w:rFonts w:hint="eastAsia" w:ascii="黑体" w:hAnsi="黑体" w:eastAsia="黑体" w:cs="黑体"/>
                <w:i/>
                <w:iCs/>
                <w:color w:val="000000"/>
                <w:sz w:val="18"/>
                <w:szCs w:val="18"/>
                <w:u w:val="none"/>
              </w:rPr>
            </w:pPr>
          </w:p>
        </w:tc>
      </w:tr>
      <w:tr w14:paraId="6C4AE8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63075C">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A7C8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B422E">
            <w:pPr>
              <w:jc w:val="center"/>
              <w:rPr>
                <w:rFonts w:hint="eastAsia" w:ascii="微软雅黑" w:hAnsi="微软雅黑" w:eastAsia="微软雅黑" w:cs="微软雅黑"/>
                <w:i/>
                <w:iCs/>
                <w:color w:val="000000"/>
                <w:sz w:val="16"/>
                <w:szCs w:val="16"/>
                <w:u w:val="none"/>
              </w:rPr>
            </w:pP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40D4E">
            <w:pPr>
              <w:jc w:val="center"/>
              <w:rPr>
                <w:rFonts w:hint="eastAsia" w:ascii="微软雅黑" w:hAnsi="微软雅黑" w:eastAsia="微软雅黑" w:cs="微软雅黑"/>
                <w:i/>
                <w:iCs/>
                <w:color w:val="000000"/>
                <w:sz w:val="16"/>
                <w:szCs w:val="16"/>
                <w:u w:val="none"/>
              </w:rPr>
            </w:pP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C4D7A9C">
            <w:pPr>
              <w:jc w:val="center"/>
              <w:rPr>
                <w:rFonts w:hint="eastAsia" w:ascii="微软雅黑" w:hAnsi="微软雅黑" w:eastAsia="微软雅黑" w:cs="微软雅黑"/>
                <w:i/>
                <w:iCs/>
                <w:color w:val="000000"/>
                <w:sz w:val="16"/>
                <w:szCs w:val="16"/>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15B87">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385F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1752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9C5CE7">
            <w:pPr>
              <w:rPr>
                <w:rFonts w:hint="eastAsia" w:ascii="黑体" w:hAnsi="黑体" w:eastAsia="黑体" w:cs="黑体"/>
                <w:i/>
                <w:iCs/>
                <w:color w:val="000000"/>
                <w:sz w:val="18"/>
                <w:szCs w:val="18"/>
                <w:u w:val="none"/>
              </w:rPr>
            </w:pPr>
          </w:p>
        </w:tc>
      </w:tr>
      <w:tr w14:paraId="5C470D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DB5F2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E05C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87DD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B0DE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3CEE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4079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5BE9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4FCA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82BA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0198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C260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214E12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4C4DCF">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0640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E841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D897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发放（缴纳）覆盖率</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912F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D2E8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F340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669E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FDF6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3E00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60</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F4DDE">
            <w:pPr>
              <w:jc w:val="center"/>
              <w:rPr>
                <w:rFonts w:hint="eastAsia" w:ascii="微软雅黑" w:hAnsi="微软雅黑" w:eastAsia="微软雅黑" w:cs="微软雅黑"/>
                <w:i/>
                <w:iCs/>
                <w:color w:val="000000"/>
                <w:sz w:val="16"/>
                <w:szCs w:val="16"/>
                <w:u w:val="none"/>
              </w:rPr>
            </w:pPr>
          </w:p>
        </w:tc>
      </w:tr>
      <w:tr w14:paraId="7717ED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84E6DC">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C057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496C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6496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足额保障率（参保率）</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6293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AF9E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61DE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4D84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E1B4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0602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BAE13">
            <w:pPr>
              <w:jc w:val="center"/>
              <w:rPr>
                <w:rFonts w:hint="eastAsia" w:ascii="微软雅黑" w:hAnsi="微软雅黑" w:eastAsia="微软雅黑" w:cs="微软雅黑"/>
                <w:i/>
                <w:iCs/>
                <w:color w:val="000000"/>
                <w:sz w:val="16"/>
                <w:szCs w:val="16"/>
                <w:u w:val="none"/>
              </w:rPr>
            </w:pPr>
          </w:p>
        </w:tc>
      </w:tr>
      <w:tr w14:paraId="5975E3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1058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CB75B5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4323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A7DB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43E3D">
            <w:pPr>
              <w:rPr>
                <w:rFonts w:hint="eastAsia" w:ascii="宋体" w:hAnsi="宋体" w:eastAsia="宋体" w:cs="宋体"/>
                <w:i w:val="0"/>
                <w:iCs w:val="0"/>
                <w:color w:val="000000"/>
                <w:sz w:val="18"/>
                <w:szCs w:val="18"/>
                <w:u w:val="none"/>
              </w:rPr>
            </w:pPr>
          </w:p>
        </w:tc>
      </w:tr>
      <w:tr w14:paraId="111E6A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B2D0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134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F59E3E6">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结合自评情况，说明项目自评总分，说明项目实施取得的成效或成果。（200字以内）</w:t>
            </w:r>
          </w:p>
        </w:tc>
      </w:tr>
      <w:tr w14:paraId="425253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2"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9FC0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134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3013737">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结合自评情况，分析存在的问题及原因。（200字以内）</w:t>
            </w:r>
          </w:p>
        </w:tc>
      </w:tr>
      <w:tr w14:paraId="56E668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4F93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134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3FACFDF">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针对项目自评中发现的问题，提出下一步改进完善的意见及有关政策性建议。（200字以内）</w:t>
            </w:r>
          </w:p>
        </w:tc>
      </w:tr>
      <w:tr w14:paraId="10378B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729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F625F2C">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项目负责人：赵兴梅</w:t>
            </w:r>
          </w:p>
        </w:tc>
        <w:tc>
          <w:tcPr>
            <w:tcW w:w="680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A89659B">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财务负责人：王良洪</w:t>
            </w:r>
          </w:p>
        </w:tc>
      </w:tr>
      <w:tr w14:paraId="2D2F2A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684" w:type="dxa"/>
            <w:tcBorders>
              <w:top w:val="nil"/>
              <w:left w:val="nil"/>
              <w:bottom w:val="nil"/>
              <w:right w:val="nil"/>
            </w:tcBorders>
            <w:shd w:val="clear" w:color="auto" w:fill="auto"/>
            <w:vAlign w:val="center"/>
          </w:tcPr>
          <w:p w14:paraId="6240BF48">
            <w:pPr>
              <w:rPr>
                <w:rFonts w:hint="eastAsia" w:ascii="宋体" w:hAnsi="宋体" w:eastAsia="宋体" w:cs="宋体"/>
                <w:i w:val="0"/>
                <w:iCs w:val="0"/>
                <w:color w:val="000000"/>
                <w:sz w:val="18"/>
                <w:szCs w:val="18"/>
                <w:u w:val="none"/>
              </w:rPr>
            </w:pPr>
          </w:p>
        </w:tc>
        <w:tc>
          <w:tcPr>
            <w:tcW w:w="2052" w:type="dxa"/>
            <w:tcBorders>
              <w:top w:val="nil"/>
              <w:left w:val="nil"/>
              <w:bottom w:val="nil"/>
              <w:right w:val="nil"/>
            </w:tcBorders>
            <w:shd w:val="clear" w:color="auto" w:fill="auto"/>
            <w:vAlign w:val="center"/>
          </w:tcPr>
          <w:p w14:paraId="7A3F052B">
            <w:pPr>
              <w:rPr>
                <w:rFonts w:hint="eastAsia" w:ascii="宋体" w:hAnsi="宋体" w:eastAsia="宋体" w:cs="宋体"/>
                <w:i w:val="0"/>
                <w:iCs w:val="0"/>
                <w:color w:val="000000"/>
                <w:sz w:val="18"/>
                <w:szCs w:val="18"/>
                <w:u w:val="none"/>
              </w:rPr>
            </w:pPr>
          </w:p>
        </w:tc>
        <w:tc>
          <w:tcPr>
            <w:tcW w:w="1775" w:type="dxa"/>
            <w:tcBorders>
              <w:top w:val="nil"/>
              <w:left w:val="nil"/>
              <w:bottom w:val="nil"/>
              <w:right w:val="nil"/>
            </w:tcBorders>
            <w:shd w:val="clear" w:color="auto" w:fill="auto"/>
            <w:vAlign w:val="center"/>
          </w:tcPr>
          <w:p w14:paraId="6F6AD1FF">
            <w:pPr>
              <w:rPr>
                <w:rFonts w:hint="eastAsia" w:ascii="宋体" w:hAnsi="宋体" w:eastAsia="宋体" w:cs="宋体"/>
                <w:i w:val="0"/>
                <w:iCs w:val="0"/>
                <w:color w:val="000000"/>
                <w:sz w:val="18"/>
                <w:szCs w:val="18"/>
                <w:u w:val="none"/>
              </w:rPr>
            </w:pPr>
          </w:p>
          <w:p w14:paraId="621B2C8D">
            <w:pPr>
              <w:rPr>
                <w:rFonts w:hint="eastAsia" w:ascii="宋体" w:hAnsi="宋体" w:eastAsia="宋体" w:cs="宋体"/>
                <w:i w:val="0"/>
                <w:iCs w:val="0"/>
                <w:color w:val="000000"/>
                <w:sz w:val="18"/>
                <w:szCs w:val="18"/>
                <w:u w:val="none"/>
              </w:rPr>
            </w:pPr>
          </w:p>
          <w:p w14:paraId="3181AE5A">
            <w:pPr>
              <w:rPr>
                <w:rFonts w:hint="eastAsia" w:ascii="宋体" w:hAnsi="宋体" w:eastAsia="宋体" w:cs="宋体"/>
                <w:i w:val="0"/>
                <w:iCs w:val="0"/>
                <w:color w:val="000000"/>
                <w:sz w:val="18"/>
                <w:szCs w:val="18"/>
                <w:u w:val="none"/>
              </w:rPr>
            </w:pPr>
          </w:p>
          <w:p w14:paraId="68E1EC80">
            <w:pPr>
              <w:rPr>
                <w:rFonts w:hint="eastAsia" w:ascii="宋体" w:hAnsi="宋体" w:eastAsia="宋体" w:cs="宋体"/>
                <w:i w:val="0"/>
                <w:iCs w:val="0"/>
                <w:color w:val="000000"/>
                <w:sz w:val="18"/>
                <w:szCs w:val="18"/>
                <w:u w:val="none"/>
              </w:rPr>
            </w:pPr>
          </w:p>
          <w:p w14:paraId="6069E28F">
            <w:pPr>
              <w:rPr>
                <w:rFonts w:hint="eastAsia" w:ascii="宋体" w:hAnsi="宋体" w:eastAsia="宋体" w:cs="宋体"/>
                <w:i w:val="0"/>
                <w:iCs w:val="0"/>
                <w:color w:val="000000"/>
                <w:sz w:val="18"/>
                <w:szCs w:val="18"/>
                <w:u w:val="none"/>
              </w:rPr>
            </w:pPr>
          </w:p>
          <w:p w14:paraId="53F83885">
            <w:pPr>
              <w:rPr>
                <w:rFonts w:hint="eastAsia" w:ascii="宋体" w:hAnsi="宋体" w:eastAsia="宋体" w:cs="宋体"/>
                <w:i w:val="0"/>
                <w:iCs w:val="0"/>
                <w:color w:val="000000"/>
                <w:sz w:val="18"/>
                <w:szCs w:val="18"/>
                <w:u w:val="none"/>
              </w:rPr>
            </w:pPr>
          </w:p>
          <w:p w14:paraId="4616CEAC">
            <w:pPr>
              <w:rPr>
                <w:rFonts w:hint="eastAsia" w:ascii="宋体" w:hAnsi="宋体" w:eastAsia="宋体" w:cs="宋体"/>
                <w:i w:val="0"/>
                <w:iCs w:val="0"/>
                <w:color w:val="000000"/>
                <w:sz w:val="18"/>
                <w:szCs w:val="18"/>
                <w:u w:val="none"/>
              </w:rPr>
            </w:pPr>
          </w:p>
          <w:p w14:paraId="4638BB9A">
            <w:pPr>
              <w:rPr>
                <w:rFonts w:hint="eastAsia" w:ascii="宋体" w:hAnsi="宋体" w:eastAsia="宋体" w:cs="宋体"/>
                <w:i w:val="0"/>
                <w:iCs w:val="0"/>
                <w:color w:val="000000"/>
                <w:sz w:val="18"/>
                <w:szCs w:val="18"/>
                <w:u w:val="none"/>
              </w:rPr>
            </w:pPr>
          </w:p>
          <w:p w14:paraId="17BB1BEE">
            <w:pPr>
              <w:rPr>
                <w:rFonts w:hint="eastAsia" w:ascii="宋体" w:hAnsi="宋体" w:eastAsia="宋体" w:cs="宋体"/>
                <w:i w:val="0"/>
                <w:iCs w:val="0"/>
                <w:color w:val="000000"/>
                <w:sz w:val="18"/>
                <w:szCs w:val="18"/>
                <w:u w:val="none"/>
              </w:rPr>
            </w:pPr>
          </w:p>
          <w:p w14:paraId="064EBD73">
            <w:pPr>
              <w:rPr>
                <w:rFonts w:hint="eastAsia" w:ascii="宋体" w:hAnsi="宋体" w:eastAsia="宋体" w:cs="宋体"/>
                <w:i w:val="0"/>
                <w:iCs w:val="0"/>
                <w:color w:val="000000"/>
                <w:sz w:val="18"/>
                <w:szCs w:val="18"/>
                <w:u w:val="none"/>
              </w:rPr>
            </w:pPr>
          </w:p>
          <w:p w14:paraId="61CF6ABC">
            <w:pPr>
              <w:rPr>
                <w:rFonts w:hint="eastAsia" w:ascii="宋体" w:hAnsi="宋体" w:eastAsia="宋体" w:cs="宋体"/>
                <w:i w:val="0"/>
                <w:iCs w:val="0"/>
                <w:color w:val="000000"/>
                <w:sz w:val="18"/>
                <w:szCs w:val="18"/>
                <w:u w:val="none"/>
              </w:rPr>
            </w:pPr>
          </w:p>
          <w:p w14:paraId="36A9B172">
            <w:pPr>
              <w:rPr>
                <w:rFonts w:hint="eastAsia" w:ascii="宋体" w:hAnsi="宋体" w:eastAsia="宋体" w:cs="宋体"/>
                <w:i w:val="0"/>
                <w:iCs w:val="0"/>
                <w:color w:val="000000"/>
                <w:sz w:val="18"/>
                <w:szCs w:val="18"/>
                <w:u w:val="none"/>
              </w:rPr>
            </w:pPr>
          </w:p>
          <w:p w14:paraId="0183F7C4">
            <w:pPr>
              <w:rPr>
                <w:rFonts w:hint="eastAsia" w:ascii="宋体" w:hAnsi="宋体" w:eastAsia="宋体" w:cs="宋体"/>
                <w:i w:val="0"/>
                <w:iCs w:val="0"/>
                <w:color w:val="000000"/>
                <w:sz w:val="18"/>
                <w:szCs w:val="18"/>
                <w:u w:val="none"/>
              </w:rPr>
            </w:pPr>
          </w:p>
          <w:p w14:paraId="13A3C9CC">
            <w:pPr>
              <w:rPr>
                <w:rFonts w:hint="eastAsia" w:ascii="宋体" w:hAnsi="宋体" w:eastAsia="宋体" w:cs="宋体"/>
                <w:i w:val="0"/>
                <w:iCs w:val="0"/>
                <w:color w:val="000000"/>
                <w:sz w:val="18"/>
                <w:szCs w:val="18"/>
                <w:u w:val="none"/>
              </w:rPr>
            </w:pPr>
          </w:p>
        </w:tc>
        <w:tc>
          <w:tcPr>
            <w:tcW w:w="2264" w:type="dxa"/>
            <w:tcBorders>
              <w:top w:val="nil"/>
              <w:left w:val="nil"/>
              <w:bottom w:val="nil"/>
              <w:right w:val="nil"/>
            </w:tcBorders>
            <w:shd w:val="clear" w:color="auto" w:fill="auto"/>
            <w:vAlign w:val="center"/>
          </w:tcPr>
          <w:p w14:paraId="2F19973C">
            <w:pPr>
              <w:rPr>
                <w:rFonts w:hint="eastAsia" w:ascii="宋体" w:hAnsi="宋体" w:eastAsia="宋体" w:cs="宋体"/>
                <w:i w:val="0"/>
                <w:iCs w:val="0"/>
                <w:color w:val="000000"/>
                <w:sz w:val="18"/>
                <w:szCs w:val="18"/>
                <w:u w:val="none"/>
              </w:rPr>
            </w:pPr>
          </w:p>
        </w:tc>
        <w:tc>
          <w:tcPr>
            <w:tcW w:w="521" w:type="dxa"/>
            <w:tcBorders>
              <w:top w:val="nil"/>
              <w:left w:val="nil"/>
              <w:bottom w:val="nil"/>
              <w:right w:val="nil"/>
            </w:tcBorders>
            <w:shd w:val="clear" w:color="auto" w:fill="auto"/>
            <w:vAlign w:val="center"/>
          </w:tcPr>
          <w:p w14:paraId="65F6304E">
            <w:pPr>
              <w:rPr>
                <w:rFonts w:hint="eastAsia" w:ascii="宋体" w:hAnsi="宋体" w:eastAsia="宋体" w:cs="宋体"/>
                <w:i w:val="0"/>
                <w:iCs w:val="0"/>
                <w:color w:val="000000"/>
                <w:sz w:val="18"/>
                <w:szCs w:val="18"/>
                <w:u w:val="none"/>
              </w:rPr>
            </w:pPr>
          </w:p>
        </w:tc>
        <w:tc>
          <w:tcPr>
            <w:tcW w:w="1677" w:type="dxa"/>
            <w:tcBorders>
              <w:top w:val="nil"/>
              <w:left w:val="nil"/>
              <w:bottom w:val="nil"/>
              <w:right w:val="nil"/>
            </w:tcBorders>
            <w:shd w:val="clear" w:color="auto" w:fill="auto"/>
            <w:vAlign w:val="center"/>
          </w:tcPr>
          <w:p w14:paraId="47E8D990">
            <w:pPr>
              <w:rPr>
                <w:rFonts w:hint="eastAsia" w:ascii="宋体" w:hAnsi="宋体" w:eastAsia="宋体" w:cs="宋体"/>
                <w:i w:val="0"/>
                <w:iCs w:val="0"/>
                <w:color w:val="000000"/>
                <w:sz w:val="18"/>
                <w:szCs w:val="18"/>
                <w:u w:val="none"/>
              </w:rPr>
            </w:pPr>
          </w:p>
        </w:tc>
        <w:tc>
          <w:tcPr>
            <w:tcW w:w="521" w:type="dxa"/>
            <w:tcBorders>
              <w:top w:val="nil"/>
              <w:left w:val="nil"/>
              <w:bottom w:val="nil"/>
              <w:right w:val="nil"/>
            </w:tcBorders>
            <w:shd w:val="clear" w:color="auto" w:fill="auto"/>
            <w:vAlign w:val="center"/>
          </w:tcPr>
          <w:p w14:paraId="4BE513AD">
            <w:pPr>
              <w:rPr>
                <w:rFonts w:hint="eastAsia" w:ascii="宋体" w:hAnsi="宋体" w:eastAsia="宋体" w:cs="宋体"/>
                <w:i w:val="0"/>
                <w:iCs w:val="0"/>
                <w:color w:val="000000"/>
                <w:sz w:val="18"/>
                <w:szCs w:val="18"/>
                <w:u w:val="none"/>
              </w:rPr>
            </w:pPr>
          </w:p>
        </w:tc>
        <w:tc>
          <w:tcPr>
            <w:tcW w:w="1091" w:type="dxa"/>
            <w:tcBorders>
              <w:top w:val="nil"/>
              <w:left w:val="nil"/>
              <w:bottom w:val="nil"/>
              <w:right w:val="nil"/>
            </w:tcBorders>
            <w:shd w:val="clear" w:color="auto" w:fill="auto"/>
            <w:vAlign w:val="center"/>
          </w:tcPr>
          <w:p w14:paraId="46BD0E20">
            <w:pPr>
              <w:rPr>
                <w:rFonts w:hint="eastAsia" w:ascii="宋体" w:hAnsi="宋体" w:eastAsia="宋体" w:cs="宋体"/>
                <w:i w:val="0"/>
                <w:iCs w:val="0"/>
                <w:color w:val="000000"/>
                <w:sz w:val="18"/>
                <w:szCs w:val="18"/>
                <w:u w:val="none"/>
              </w:rPr>
            </w:pPr>
          </w:p>
        </w:tc>
        <w:tc>
          <w:tcPr>
            <w:tcW w:w="505" w:type="dxa"/>
            <w:tcBorders>
              <w:top w:val="nil"/>
              <w:left w:val="nil"/>
              <w:bottom w:val="nil"/>
              <w:right w:val="nil"/>
            </w:tcBorders>
            <w:shd w:val="clear" w:color="auto" w:fill="auto"/>
            <w:vAlign w:val="center"/>
          </w:tcPr>
          <w:p w14:paraId="25CA19C2">
            <w:pPr>
              <w:rPr>
                <w:rFonts w:hint="eastAsia" w:ascii="宋体" w:hAnsi="宋体" w:eastAsia="宋体" w:cs="宋体"/>
                <w:i w:val="0"/>
                <w:iCs w:val="0"/>
                <w:color w:val="000000"/>
                <w:sz w:val="18"/>
                <w:szCs w:val="18"/>
                <w:u w:val="none"/>
              </w:rPr>
            </w:pPr>
          </w:p>
        </w:tc>
        <w:tc>
          <w:tcPr>
            <w:tcW w:w="456" w:type="dxa"/>
            <w:tcBorders>
              <w:top w:val="nil"/>
              <w:left w:val="nil"/>
              <w:bottom w:val="nil"/>
              <w:right w:val="nil"/>
            </w:tcBorders>
            <w:shd w:val="clear" w:color="auto" w:fill="auto"/>
            <w:vAlign w:val="center"/>
          </w:tcPr>
          <w:p w14:paraId="0ACD14B9">
            <w:pPr>
              <w:rPr>
                <w:rFonts w:hint="eastAsia" w:ascii="宋体" w:hAnsi="宋体" w:eastAsia="宋体" w:cs="宋体"/>
                <w:i w:val="0"/>
                <w:iCs w:val="0"/>
                <w:color w:val="000000"/>
                <w:sz w:val="18"/>
                <w:szCs w:val="18"/>
                <w:u w:val="none"/>
              </w:rPr>
            </w:pPr>
          </w:p>
        </w:tc>
        <w:tc>
          <w:tcPr>
            <w:tcW w:w="2557" w:type="dxa"/>
            <w:tcBorders>
              <w:top w:val="nil"/>
              <w:left w:val="nil"/>
              <w:bottom w:val="nil"/>
              <w:right w:val="nil"/>
            </w:tcBorders>
            <w:shd w:val="clear" w:color="auto" w:fill="auto"/>
            <w:vAlign w:val="center"/>
          </w:tcPr>
          <w:p w14:paraId="6C7307F0">
            <w:pPr>
              <w:rPr>
                <w:rFonts w:hint="eastAsia" w:ascii="宋体" w:hAnsi="宋体" w:eastAsia="宋体" w:cs="宋体"/>
                <w:i w:val="0"/>
                <w:iCs w:val="0"/>
                <w:color w:val="000000"/>
                <w:sz w:val="18"/>
                <w:szCs w:val="18"/>
                <w:u w:val="none"/>
              </w:rPr>
            </w:pPr>
          </w:p>
        </w:tc>
      </w:tr>
      <w:tr w14:paraId="225013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684" w:type="dxa"/>
            <w:tcBorders>
              <w:top w:val="nil"/>
              <w:left w:val="nil"/>
              <w:bottom w:val="nil"/>
              <w:right w:val="nil"/>
            </w:tcBorders>
            <w:shd w:val="clear" w:color="auto" w:fill="auto"/>
            <w:vAlign w:val="center"/>
          </w:tcPr>
          <w:p w14:paraId="431DC53D">
            <w:pPr>
              <w:rPr>
                <w:rFonts w:hint="eastAsia" w:ascii="宋体" w:hAnsi="宋体" w:eastAsia="宋体" w:cs="宋体"/>
                <w:i w:val="0"/>
                <w:iCs w:val="0"/>
                <w:color w:val="000000"/>
                <w:sz w:val="18"/>
                <w:szCs w:val="18"/>
                <w:u w:val="none"/>
              </w:rPr>
            </w:pPr>
          </w:p>
        </w:tc>
        <w:tc>
          <w:tcPr>
            <w:tcW w:w="2052" w:type="dxa"/>
            <w:tcBorders>
              <w:top w:val="nil"/>
              <w:left w:val="nil"/>
              <w:bottom w:val="nil"/>
              <w:right w:val="nil"/>
            </w:tcBorders>
            <w:shd w:val="clear" w:color="auto" w:fill="auto"/>
            <w:vAlign w:val="center"/>
          </w:tcPr>
          <w:p w14:paraId="1E41F031">
            <w:pPr>
              <w:rPr>
                <w:rFonts w:hint="eastAsia" w:ascii="宋体" w:hAnsi="宋体" w:eastAsia="宋体" w:cs="宋体"/>
                <w:i w:val="0"/>
                <w:iCs w:val="0"/>
                <w:color w:val="000000"/>
                <w:sz w:val="18"/>
                <w:szCs w:val="18"/>
                <w:u w:val="none"/>
              </w:rPr>
            </w:pPr>
          </w:p>
        </w:tc>
        <w:tc>
          <w:tcPr>
            <w:tcW w:w="1775" w:type="dxa"/>
            <w:tcBorders>
              <w:top w:val="nil"/>
              <w:left w:val="nil"/>
              <w:bottom w:val="nil"/>
              <w:right w:val="nil"/>
            </w:tcBorders>
            <w:shd w:val="clear" w:color="auto" w:fill="auto"/>
            <w:vAlign w:val="center"/>
          </w:tcPr>
          <w:p w14:paraId="72FF8766">
            <w:pPr>
              <w:rPr>
                <w:rFonts w:hint="eastAsia" w:ascii="宋体" w:hAnsi="宋体" w:eastAsia="宋体" w:cs="宋体"/>
                <w:i w:val="0"/>
                <w:iCs w:val="0"/>
                <w:color w:val="000000"/>
                <w:sz w:val="18"/>
                <w:szCs w:val="18"/>
                <w:u w:val="none"/>
              </w:rPr>
            </w:pPr>
          </w:p>
        </w:tc>
        <w:tc>
          <w:tcPr>
            <w:tcW w:w="2264" w:type="dxa"/>
            <w:tcBorders>
              <w:top w:val="nil"/>
              <w:left w:val="nil"/>
              <w:bottom w:val="nil"/>
              <w:right w:val="nil"/>
            </w:tcBorders>
            <w:shd w:val="clear" w:color="auto" w:fill="auto"/>
            <w:vAlign w:val="center"/>
          </w:tcPr>
          <w:p w14:paraId="4EB93B67">
            <w:pPr>
              <w:rPr>
                <w:rFonts w:hint="eastAsia" w:ascii="宋体" w:hAnsi="宋体" w:eastAsia="宋体" w:cs="宋体"/>
                <w:i w:val="0"/>
                <w:iCs w:val="0"/>
                <w:color w:val="000000"/>
                <w:sz w:val="18"/>
                <w:szCs w:val="18"/>
                <w:u w:val="none"/>
              </w:rPr>
            </w:pPr>
          </w:p>
        </w:tc>
        <w:tc>
          <w:tcPr>
            <w:tcW w:w="521" w:type="dxa"/>
            <w:tcBorders>
              <w:top w:val="nil"/>
              <w:left w:val="nil"/>
              <w:bottom w:val="nil"/>
              <w:right w:val="nil"/>
            </w:tcBorders>
            <w:shd w:val="clear" w:color="auto" w:fill="auto"/>
            <w:vAlign w:val="center"/>
          </w:tcPr>
          <w:p w14:paraId="387FB1D0">
            <w:pPr>
              <w:rPr>
                <w:rFonts w:hint="eastAsia" w:ascii="宋体" w:hAnsi="宋体" w:eastAsia="宋体" w:cs="宋体"/>
                <w:i w:val="0"/>
                <w:iCs w:val="0"/>
                <w:color w:val="000000"/>
                <w:sz w:val="18"/>
                <w:szCs w:val="18"/>
                <w:u w:val="none"/>
              </w:rPr>
            </w:pPr>
          </w:p>
        </w:tc>
        <w:tc>
          <w:tcPr>
            <w:tcW w:w="1677" w:type="dxa"/>
            <w:tcBorders>
              <w:top w:val="nil"/>
              <w:left w:val="nil"/>
              <w:bottom w:val="nil"/>
              <w:right w:val="nil"/>
            </w:tcBorders>
            <w:shd w:val="clear" w:color="auto" w:fill="auto"/>
            <w:vAlign w:val="center"/>
          </w:tcPr>
          <w:p w14:paraId="09FCA0D2">
            <w:pPr>
              <w:rPr>
                <w:rFonts w:hint="eastAsia" w:ascii="宋体" w:hAnsi="宋体" w:eastAsia="宋体" w:cs="宋体"/>
                <w:i w:val="0"/>
                <w:iCs w:val="0"/>
                <w:color w:val="000000"/>
                <w:sz w:val="18"/>
                <w:szCs w:val="18"/>
                <w:u w:val="none"/>
              </w:rPr>
            </w:pPr>
          </w:p>
        </w:tc>
        <w:tc>
          <w:tcPr>
            <w:tcW w:w="521" w:type="dxa"/>
            <w:tcBorders>
              <w:top w:val="nil"/>
              <w:left w:val="nil"/>
              <w:bottom w:val="nil"/>
              <w:right w:val="nil"/>
            </w:tcBorders>
            <w:shd w:val="clear" w:color="auto" w:fill="auto"/>
            <w:vAlign w:val="center"/>
          </w:tcPr>
          <w:p w14:paraId="5CD0D6CB">
            <w:pPr>
              <w:rPr>
                <w:rFonts w:hint="eastAsia" w:ascii="宋体" w:hAnsi="宋体" w:eastAsia="宋体" w:cs="宋体"/>
                <w:i w:val="0"/>
                <w:iCs w:val="0"/>
                <w:color w:val="000000"/>
                <w:sz w:val="18"/>
                <w:szCs w:val="18"/>
                <w:u w:val="none"/>
              </w:rPr>
            </w:pPr>
          </w:p>
        </w:tc>
        <w:tc>
          <w:tcPr>
            <w:tcW w:w="1091" w:type="dxa"/>
            <w:tcBorders>
              <w:top w:val="nil"/>
              <w:left w:val="nil"/>
              <w:bottom w:val="nil"/>
              <w:right w:val="nil"/>
            </w:tcBorders>
            <w:shd w:val="clear" w:color="auto" w:fill="auto"/>
            <w:vAlign w:val="center"/>
          </w:tcPr>
          <w:p w14:paraId="4CE0107D">
            <w:pPr>
              <w:rPr>
                <w:rFonts w:hint="eastAsia" w:ascii="宋体" w:hAnsi="宋体" w:eastAsia="宋体" w:cs="宋体"/>
                <w:i w:val="0"/>
                <w:iCs w:val="0"/>
                <w:color w:val="000000"/>
                <w:sz w:val="18"/>
                <w:szCs w:val="18"/>
                <w:u w:val="none"/>
              </w:rPr>
            </w:pPr>
          </w:p>
        </w:tc>
        <w:tc>
          <w:tcPr>
            <w:tcW w:w="505" w:type="dxa"/>
            <w:tcBorders>
              <w:top w:val="nil"/>
              <w:left w:val="nil"/>
              <w:bottom w:val="nil"/>
              <w:right w:val="nil"/>
            </w:tcBorders>
            <w:shd w:val="clear" w:color="auto" w:fill="auto"/>
            <w:vAlign w:val="center"/>
          </w:tcPr>
          <w:p w14:paraId="079D9EB8">
            <w:pPr>
              <w:rPr>
                <w:rFonts w:hint="eastAsia" w:ascii="宋体" w:hAnsi="宋体" w:eastAsia="宋体" w:cs="宋体"/>
                <w:i w:val="0"/>
                <w:iCs w:val="0"/>
                <w:color w:val="000000"/>
                <w:sz w:val="18"/>
                <w:szCs w:val="18"/>
                <w:u w:val="none"/>
              </w:rPr>
            </w:pPr>
          </w:p>
        </w:tc>
        <w:tc>
          <w:tcPr>
            <w:tcW w:w="456" w:type="dxa"/>
            <w:tcBorders>
              <w:top w:val="nil"/>
              <w:left w:val="nil"/>
              <w:bottom w:val="nil"/>
              <w:right w:val="nil"/>
            </w:tcBorders>
            <w:shd w:val="clear" w:color="auto" w:fill="auto"/>
            <w:vAlign w:val="center"/>
          </w:tcPr>
          <w:p w14:paraId="0E4A167B">
            <w:pPr>
              <w:rPr>
                <w:rFonts w:hint="eastAsia" w:ascii="宋体" w:hAnsi="宋体" w:eastAsia="宋体" w:cs="宋体"/>
                <w:i w:val="0"/>
                <w:iCs w:val="0"/>
                <w:color w:val="000000"/>
                <w:sz w:val="18"/>
                <w:szCs w:val="18"/>
                <w:u w:val="none"/>
              </w:rPr>
            </w:pPr>
          </w:p>
        </w:tc>
        <w:tc>
          <w:tcPr>
            <w:tcW w:w="2557" w:type="dxa"/>
            <w:tcBorders>
              <w:top w:val="nil"/>
              <w:left w:val="nil"/>
              <w:bottom w:val="nil"/>
              <w:right w:val="nil"/>
            </w:tcBorders>
            <w:shd w:val="clear" w:color="auto" w:fill="auto"/>
            <w:vAlign w:val="center"/>
          </w:tcPr>
          <w:p w14:paraId="15E6B4B1">
            <w:pPr>
              <w:rPr>
                <w:rFonts w:hint="eastAsia" w:ascii="宋体" w:hAnsi="宋体" w:eastAsia="宋体" w:cs="宋体"/>
                <w:i w:val="0"/>
                <w:iCs w:val="0"/>
                <w:color w:val="000000"/>
                <w:sz w:val="18"/>
                <w:szCs w:val="18"/>
                <w:u w:val="none"/>
              </w:rPr>
            </w:pPr>
          </w:p>
        </w:tc>
      </w:tr>
      <w:tr w14:paraId="1E1D2B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4" w:hRule="atLeast"/>
        </w:trPr>
        <w:tc>
          <w:tcPr>
            <w:tcW w:w="14103"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0DBAECF6">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116DB3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2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9A9F1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11367"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493462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51050024T000012030008-向上争取资金工作经费</w:t>
            </w:r>
          </w:p>
        </w:tc>
      </w:tr>
      <w:tr w14:paraId="3158D2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2" w:hRule="atLeast"/>
        </w:trPr>
        <w:tc>
          <w:tcPr>
            <w:tcW w:w="2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36BA3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675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DE6CC0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市政法部门</w:t>
            </w:r>
          </w:p>
        </w:tc>
        <w:tc>
          <w:tcPr>
            <w:tcW w:w="1091" w:type="dxa"/>
            <w:tcBorders>
              <w:top w:val="nil"/>
              <w:left w:val="nil"/>
              <w:bottom w:val="nil"/>
              <w:right w:val="nil"/>
            </w:tcBorders>
            <w:shd w:val="clear" w:color="auto" w:fill="auto"/>
            <w:vAlign w:val="center"/>
          </w:tcPr>
          <w:p w14:paraId="496A5502">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1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0AF974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中国共产党泸州市委员会政法委员会</w:t>
            </w:r>
          </w:p>
        </w:tc>
      </w:tr>
      <w:tr w14:paraId="06E814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EFC55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20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D5818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675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12FA8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60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4E6E5F3">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758B48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8"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EE754B">
            <w:pP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9CB070">
            <w:pPr>
              <w:rPr>
                <w:rFonts w:hint="eastAsia" w:ascii="宋体" w:hAnsi="宋体" w:eastAsia="宋体" w:cs="宋体"/>
                <w:i w:val="0"/>
                <w:iCs w:val="0"/>
                <w:color w:val="000000"/>
                <w:sz w:val="18"/>
                <w:szCs w:val="18"/>
                <w:u w:val="none"/>
              </w:rPr>
            </w:pPr>
          </w:p>
        </w:tc>
        <w:tc>
          <w:tcPr>
            <w:tcW w:w="675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0928CF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向上争取开展工作所需经费，保质保量按工作职责完成工作任务。</w:t>
            </w:r>
          </w:p>
        </w:tc>
        <w:tc>
          <w:tcPr>
            <w:tcW w:w="460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5A3C853">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对照年度目标，说明相关任务目标的完成情况（100字以内）</w:t>
            </w:r>
          </w:p>
        </w:tc>
      </w:tr>
      <w:tr w14:paraId="567F1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3"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8C65C3">
            <w:pP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1207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11367"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D29A596">
            <w:pPr>
              <w:rPr>
                <w:rFonts w:hint="eastAsia" w:ascii="宋体" w:hAnsi="宋体" w:eastAsia="宋体" w:cs="宋体"/>
                <w:i w:val="0"/>
                <w:iCs w:val="0"/>
                <w:color w:val="000000"/>
                <w:sz w:val="18"/>
                <w:szCs w:val="18"/>
                <w:u w:val="none"/>
              </w:rPr>
            </w:pPr>
          </w:p>
        </w:tc>
      </w:tr>
      <w:tr w14:paraId="3F910D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1"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B2D9C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125D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9909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3B5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6BB34C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4CC0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1C7F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DA59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D408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5050D7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6"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1126FA">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8D41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46D1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40F1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FE1C08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30B5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0968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21894">
            <w:pPr>
              <w:jc w:val="center"/>
              <w:rPr>
                <w:rFonts w:hint="eastAsia" w:ascii="宋体" w:hAnsi="宋体" w:eastAsia="宋体" w:cs="宋体"/>
                <w:i w:val="0"/>
                <w:iCs w:val="0"/>
                <w:color w:val="000000"/>
                <w:sz w:val="18"/>
                <w:szCs w:val="18"/>
                <w:u w:val="none"/>
              </w:rPr>
            </w:pPr>
          </w:p>
        </w:tc>
        <w:tc>
          <w:tcPr>
            <w:tcW w:w="25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95C7E5">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6EC0A6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1"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52BE5A">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D96A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6A32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B1B1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1A3332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382A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CC35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731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F9E6AA">
            <w:pPr>
              <w:rPr>
                <w:rFonts w:hint="eastAsia" w:ascii="黑体" w:hAnsi="黑体" w:eastAsia="黑体" w:cs="黑体"/>
                <w:i/>
                <w:iCs/>
                <w:color w:val="000000"/>
                <w:sz w:val="18"/>
                <w:szCs w:val="18"/>
                <w:u w:val="none"/>
              </w:rPr>
            </w:pPr>
          </w:p>
        </w:tc>
      </w:tr>
      <w:tr w14:paraId="592CA6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33A39A">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8280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E2FF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2CE0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6454F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25D7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57C6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DA0B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B94DB9">
            <w:pPr>
              <w:rPr>
                <w:rFonts w:hint="eastAsia" w:ascii="黑体" w:hAnsi="黑体" w:eastAsia="黑体" w:cs="黑体"/>
                <w:i/>
                <w:iCs/>
                <w:color w:val="000000"/>
                <w:sz w:val="18"/>
                <w:szCs w:val="18"/>
                <w:u w:val="none"/>
              </w:rPr>
            </w:pPr>
          </w:p>
        </w:tc>
      </w:tr>
      <w:tr w14:paraId="054C04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1"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BA3EF9">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457C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627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E766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3F2E0E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E4B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A41A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0264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8C537A">
            <w:pPr>
              <w:rPr>
                <w:rFonts w:hint="eastAsia" w:ascii="黑体" w:hAnsi="黑体" w:eastAsia="黑体" w:cs="黑体"/>
                <w:i/>
                <w:iCs/>
                <w:color w:val="000000"/>
                <w:sz w:val="18"/>
                <w:szCs w:val="18"/>
                <w:u w:val="none"/>
              </w:rPr>
            </w:pPr>
          </w:p>
        </w:tc>
      </w:tr>
      <w:tr w14:paraId="28FC16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86832A">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A79E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3656B">
            <w:pPr>
              <w:jc w:val="center"/>
              <w:rPr>
                <w:rFonts w:hint="eastAsia" w:ascii="微软雅黑" w:hAnsi="微软雅黑" w:eastAsia="微软雅黑" w:cs="微软雅黑"/>
                <w:i/>
                <w:iCs/>
                <w:color w:val="000000"/>
                <w:sz w:val="16"/>
                <w:szCs w:val="16"/>
                <w:u w:val="none"/>
              </w:rPr>
            </w:pP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94117">
            <w:pPr>
              <w:jc w:val="center"/>
              <w:rPr>
                <w:rFonts w:hint="eastAsia" w:ascii="微软雅黑" w:hAnsi="微软雅黑" w:eastAsia="微软雅黑" w:cs="微软雅黑"/>
                <w:i/>
                <w:iCs/>
                <w:color w:val="000000"/>
                <w:sz w:val="16"/>
                <w:szCs w:val="16"/>
                <w:u w:val="none"/>
              </w:rPr>
            </w:pP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D8F8B72">
            <w:pPr>
              <w:jc w:val="center"/>
              <w:rPr>
                <w:rFonts w:hint="eastAsia" w:ascii="微软雅黑" w:hAnsi="微软雅黑" w:eastAsia="微软雅黑" w:cs="微软雅黑"/>
                <w:i/>
                <w:iCs/>
                <w:color w:val="000000"/>
                <w:sz w:val="16"/>
                <w:szCs w:val="16"/>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12613">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2BDD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12CF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F6B115">
            <w:pPr>
              <w:rPr>
                <w:rFonts w:hint="eastAsia" w:ascii="黑体" w:hAnsi="黑体" w:eastAsia="黑体" w:cs="黑体"/>
                <w:i/>
                <w:iCs/>
                <w:color w:val="000000"/>
                <w:sz w:val="18"/>
                <w:szCs w:val="18"/>
                <w:u w:val="none"/>
              </w:rPr>
            </w:pPr>
          </w:p>
        </w:tc>
      </w:tr>
      <w:tr w14:paraId="037A3C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94A2D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F507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F945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DF31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0D97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7DCE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E4E7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F11B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55DF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078F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7B52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294E60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EEDD0C">
            <w:pPr>
              <w:jc w:val="center"/>
              <w:rPr>
                <w:rFonts w:hint="eastAsia" w:ascii="宋体" w:hAnsi="宋体" w:eastAsia="宋体" w:cs="宋体"/>
                <w:i w:val="0"/>
                <w:iCs w:val="0"/>
                <w:color w:val="000000"/>
                <w:sz w:val="18"/>
                <w:szCs w:val="18"/>
                <w:u w:val="none"/>
              </w:rPr>
            </w:pPr>
          </w:p>
        </w:tc>
        <w:tc>
          <w:tcPr>
            <w:tcW w:w="20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DBBF6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3942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4A7A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按要求完成工作</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4239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5577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FE3C1">
            <w:pPr>
              <w:jc w:val="center"/>
              <w:rPr>
                <w:rFonts w:hint="eastAsia" w:ascii="宋体" w:hAnsi="宋体" w:eastAsia="宋体" w:cs="宋体"/>
                <w:i w:val="0"/>
                <w:iCs w:val="0"/>
                <w:color w:val="000000"/>
                <w:sz w:val="18"/>
                <w:szCs w:val="18"/>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4E94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7A48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DC92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A0363">
            <w:pPr>
              <w:jc w:val="center"/>
              <w:rPr>
                <w:rFonts w:hint="eastAsia" w:ascii="微软雅黑" w:hAnsi="微软雅黑" w:eastAsia="微软雅黑" w:cs="微软雅黑"/>
                <w:i/>
                <w:iCs/>
                <w:color w:val="000000"/>
                <w:sz w:val="16"/>
                <w:szCs w:val="16"/>
                <w:u w:val="none"/>
              </w:rPr>
            </w:pPr>
          </w:p>
        </w:tc>
      </w:tr>
      <w:tr w14:paraId="38702C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4AFDF7">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B60D37">
            <w:pPr>
              <w:jc w:val="center"/>
              <w:rPr>
                <w:rFonts w:hint="eastAsia" w:ascii="宋体" w:hAnsi="宋体" w:eastAsia="宋体" w:cs="宋体"/>
                <w:i w:val="0"/>
                <w:iCs w:val="0"/>
                <w:color w:val="000000"/>
                <w:sz w:val="18"/>
                <w:szCs w:val="18"/>
                <w:u w:val="none"/>
              </w:rPr>
            </w:pP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27AB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C794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按工作时间要求保质保量完成工作</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D05A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9561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D9B1D">
            <w:pPr>
              <w:jc w:val="center"/>
              <w:rPr>
                <w:rFonts w:hint="eastAsia" w:ascii="宋体" w:hAnsi="宋体" w:eastAsia="宋体" w:cs="宋体"/>
                <w:i w:val="0"/>
                <w:iCs w:val="0"/>
                <w:color w:val="000000"/>
                <w:sz w:val="18"/>
                <w:szCs w:val="18"/>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5537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8F77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283C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7294C">
            <w:pPr>
              <w:jc w:val="center"/>
              <w:rPr>
                <w:rFonts w:hint="eastAsia" w:ascii="微软雅黑" w:hAnsi="微软雅黑" w:eastAsia="微软雅黑" w:cs="微软雅黑"/>
                <w:i/>
                <w:iCs/>
                <w:color w:val="000000"/>
                <w:sz w:val="16"/>
                <w:szCs w:val="16"/>
                <w:u w:val="none"/>
              </w:rPr>
            </w:pPr>
          </w:p>
        </w:tc>
      </w:tr>
      <w:tr w14:paraId="37A43D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312F32">
            <w:pPr>
              <w:jc w:val="center"/>
              <w:rPr>
                <w:rFonts w:hint="eastAsia" w:ascii="宋体" w:hAnsi="宋体" w:eastAsia="宋体" w:cs="宋体"/>
                <w:i w:val="0"/>
                <w:iCs w:val="0"/>
                <w:color w:val="000000"/>
                <w:sz w:val="18"/>
                <w:szCs w:val="18"/>
                <w:u w:val="none"/>
              </w:rPr>
            </w:pPr>
          </w:p>
        </w:tc>
        <w:tc>
          <w:tcPr>
            <w:tcW w:w="20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B7784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3333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经济效益指标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FA95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在预算内完成工作</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4C09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A34D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64BB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6C54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BC40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6DBB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20A08">
            <w:pPr>
              <w:jc w:val="center"/>
              <w:rPr>
                <w:rFonts w:hint="eastAsia" w:ascii="微软雅黑" w:hAnsi="微软雅黑" w:eastAsia="微软雅黑" w:cs="微软雅黑"/>
                <w:i/>
                <w:iCs/>
                <w:color w:val="000000"/>
                <w:sz w:val="16"/>
                <w:szCs w:val="16"/>
                <w:u w:val="none"/>
              </w:rPr>
            </w:pPr>
          </w:p>
        </w:tc>
      </w:tr>
      <w:tr w14:paraId="11A48E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CA2EB9">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559DFF">
            <w:pPr>
              <w:jc w:val="center"/>
              <w:rPr>
                <w:rFonts w:hint="eastAsia" w:ascii="宋体" w:hAnsi="宋体" w:eastAsia="宋体" w:cs="宋体"/>
                <w:i w:val="0"/>
                <w:iCs w:val="0"/>
                <w:color w:val="000000"/>
                <w:sz w:val="18"/>
                <w:szCs w:val="18"/>
                <w:u w:val="none"/>
              </w:rPr>
            </w:pP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DD24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可持续发展指标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F731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按部门工作职责开展工作</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02D4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0332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ED468">
            <w:pPr>
              <w:jc w:val="center"/>
              <w:rPr>
                <w:rFonts w:hint="eastAsia" w:ascii="宋体" w:hAnsi="宋体" w:eastAsia="宋体" w:cs="宋体"/>
                <w:i w:val="0"/>
                <w:iCs w:val="0"/>
                <w:color w:val="000000"/>
                <w:sz w:val="18"/>
                <w:szCs w:val="18"/>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050F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1E08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DEBB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F9BA7">
            <w:pPr>
              <w:jc w:val="center"/>
              <w:rPr>
                <w:rFonts w:hint="eastAsia" w:ascii="微软雅黑" w:hAnsi="微软雅黑" w:eastAsia="微软雅黑" w:cs="微软雅黑"/>
                <w:i/>
                <w:iCs/>
                <w:color w:val="000000"/>
                <w:sz w:val="16"/>
                <w:szCs w:val="16"/>
                <w:u w:val="none"/>
              </w:rPr>
            </w:pPr>
          </w:p>
        </w:tc>
      </w:tr>
      <w:tr w14:paraId="2BBEB0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0AC9A0">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B489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3F83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1E29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全市人民享受和谐稳定工作环境</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0D16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8030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2BEEB">
            <w:pPr>
              <w:jc w:val="center"/>
              <w:rPr>
                <w:rFonts w:hint="eastAsia" w:ascii="宋体" w:hAnsi="宋体" w:eastAsia="宋体" w:cs="宋体"/>
                <w:i w:val="0"/>
                <w:iCs w:val="0"/>
                <w:color w:val="000000"/>
                <w:sz w:val="18"/>
                <w:szCs w:val="18"/>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C80E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3613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5274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DEF3C">
            <w:pPr>
              <w:jc w:val="center"/>
              <w:rPr>
                <w:rFonts w:hint="eastAsia" w:ascii="微软雅黑" w:hAnsi="微软雅黑" w:eastAsia="微软雅黑" w:cs="微软雅黑"/>
                <w:i/>
                <w:iCs/>
                <w:color w:val="000000"/>
                <w:sz w:val="16"/>
                <w:szCs w:val="16"/>
                <w:u w:val="none"/>
              </w:rPr>
            </w:pPr>
          </w:p>
        </w:tc>
      </w:tr>
      <w:tr w14:paraId="343D3F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0907A8">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D058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CEB9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F0A1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在预算内完成工作</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36F4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46F3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68F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3003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B0F5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ED8C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692C7">
            <w:pPr>
              <w:jc w:val="center"/>
              <w:rPr>
                <w:rFonts w:hint="eastAsia" w:ascii="微软雅黑" w:hAnsi="微软雅黑" w:eastAsia="微软雅黑" w:cs="微软雅黑"/>
                <w:i/>
                <w:iCs/>
                <w:color w:val="000000"/>
                <w:sz w:val="16"/>
                <w:szCs w:val="16"/>
                <w:u w:val="none"/>
              </w:rPr>
            </w:pPr>
          </w:p>
        </w:tc>
      </w:tr>
      <w:tr w14:paraId="6B6869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1058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4E900B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6FB1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41D8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8789B">
            <w:pPr>
              <w:rPr>
                <w:rFonts w:hint="eastAsia" w:ascii="宋体" w:hAnsi="宋体" w:eastAsia="宋体" w:cs="宋体"/>
                <w:i w:val="0"/>
                <w:iCs w:val="0"/>
                <w:color w:val="000000"/>
                <w:sz w:val="18"/>
                <w:szCs w:val="18"/>
                <w:u w:val="none"/>
              </w:rPr>
            </w:pPr>
          </w:p>
        </w:tc>
      </w:tr>
      <w:tr w14:paraId="67DD58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3790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134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A5D2895">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结合自评情况，说明项目自评总分，说明项目实施取得的成效或成果。（200字以内）</w:t>
            </w:r>
          </w:p>
        </w:tc>
      </w:tr>
      <w:tr w14:paraId="12EEB0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2"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8141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134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EB6FDCC">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结合自评情况，分析存在的问题及原因。（200字以内）</w:t>
            </w:r>
          </w:p>
        </w:tc>
      </w:tr>
      <w:tr w14:paraId="32F456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D910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134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217C238">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针对项目自评中发现的问题，提出下一步改进完善的意见及有关政策性建议。（200字以内）</w:t>
            </w:r>
          </w:p>
        </w:tc>
      </w:tr>
      <w:tr w14:paraId="265F82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729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3A25E8E">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项目负责人：赵兴梅</w:t>
            </w:r>
          </w:p>
        </w:tc>
        <w:tc>
          <w:tcPr>
            <w:tcW w:w="680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A465A7E">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财务负责人：王良洪</w:t>
            </w:r>
          </w:p>
        </w:tc>
      </w:tr>
      <w:tr w14:paraId="109446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684" w:type="dxa"/>
            <w:tcBorders>
              <w:top w:val="nil"/>
              <w:left w:val="nil"/>
              <w:bottom w:val="nil"/>
              <w:right w:val="nil"/>
            </w:tcBorders>
            <w:shd w:val="clear" w:color="auto" w:fill="auto"/>
            <w:vAlign w:val="center"/>
          </w:tcPr>
          <w:p w14:paraId="0FA669CA">
            <w:pPr>
              <w:rPr>
                <w:rFonts w:hint="eastAsia" w:ascii="宋体" w:hAnsi="宋体" w:eastAsia="宋体" w:cs="宋体"/>
                <w:i w:val="0"/>
                <w:iCs w:val="0"/>
                <w:color w:val="000000"/>
                <w:sz w:val="18"/>
                <w:szCs w:val="18"/>
                <w:u w:val="none"/>
              </w:rPr>
            </w:pPr>
          </w:p>
        </w:tc>
        <w:tc>
          <w:tcPr>
            <w:tcW w:w="2052" w:type="dxa"/>
            <w:tcBorders>
              <w:top w:val="nil"/>
              <w:left w:val="nil"/>
              <w:bottom w:val="nil"/>
              <w:right w:val="nil"/>
            </w:tcBorders>
            <w:shd w:val="clear" w:color="auto" w:fill="auto"/>
            <w:vAlign w:val="center"/>
          </w:tcPr>
          <w:p w14:paraId="06EEBB6B">
            <w:pPr>
              <w:rPr>
                <w:rFonts w:hint="eastAsia" w:ascii="宋体" w:hAnsi="宋体" w:eastAsia="宋体" w:cs="宋体"/>
                <w:i w:val="0"/>
                <w:iCs w:val="0"/>
                <w:color w:val="000000"/>
                <w:sz w:val="18"/>
                <w:szCs w:val="18"/>
                <w:u w:val="none"/>
              </w:rPr>
            </w:pPr>
          </w:p>
        </w:tc>
        <w:tc>
          <w:tcPr>
            <w:tcW w:w="1775" w:type="dxa"/>
            <w:tcBorders>
              <w:top w:val="nil"/>
              <w:left w:val="nil"/>
              <w:bottom w:val="nil"/>
              <w:right w:val="nil"/>
            </w:tcBorders>
            <w:shd w:val="clear" w:color="auto" w:fill="auto"/>
            <w:vAlign w:val="center"/>
          </w:tcPr>
          <w:p w14:paraId="056CBD44">
            <w:pPr>
              <w:rPr>
                <w:rFonts w:hint="eastAsia" w:ascii="宋体" w:hAnsi="宋体" w:eastAsia="宋体" w:cs="宋体"/>
                <w:i w:val="0"/>
                <w:iCs w:val="0"/>
                <w:color w:val="000000"/>
                <w:sz w:val="18"/>
                <w:szCs w:val="18"/>
                <w:u w:val="none"/>
              </w:rPr>
            </w:pPr>
          </w:p>
          <w:p w14:paraId="5AB5984B">
            <w:pPr>
              <w:rPr>
                <w:rFonts w:hint="eastAsia" w:ascii="宋体" w:hAnsi="宋体" w:eastAsia="宋体" w:cs="宋体"/>
                <w:i w:val="0"/>
                <w:iCs w:val="0"/>
                <w:color w:val="000000"/>
                <w:sz w:val="18"/>
                <w:szCs w:val="18"/>
                <w:u w:val="none"/>
              </w:rPr>
            </w:pPr>
          </w:p>
          <w:p w14:paraId="070B91AA">
            <w:pPr>
              <w:rPr>
                <w:rFonts w:hint="eastAsia" w:ascii="宋体" w:hAnsi="宋体" w:eastAsia="宋体" w:cs="宋体"/>
                <w:i w:val="0"/>
                <w:iCs w:val="0"/>
                <w:color w:val="000000"/>
                <w:sz w:val="18"/>
                <w:szCs w:val="18"/>
                <w:u w:val="none"/>
              </w:rPr>
            </w:pPr>
          </w:p>
          <w:p w14:paraId="5724ADA1">
            <w:pPr>
              <w:rPr>
                <w:rFonts w:hint="eastAsia" w:ascii="宋体" w:hAnsi="宋体" w:eastAsia="宋体" w:cs="宋体"/>
                <w:i w:val="0"/>
                <w:iCs w:val="0"/>
                <w:color w:val="000000"/>
                <w:sz w:val="18"/>
                <w:szCs w:val="18"/>
                <w:u w:val="none"/>
              </w:rPr>
            </w:pPr>
          </w:p>
          <w:p w14:paraId="5841471A">
            <w:pPr>
              <w:rPr>
                <w:rFonts w:hint="eastAsia" w:ascii="宋体" w:hAnsi="宋体" w:eastAsia="宋体" w:cs="宋体"/>
                <w:i w:val="0"/>
                <w:iCs w:val="0"/>
                <w:color w:val="000000"/>
                <w:sz w:val="18"/>
                <w:szCs w:val="18"/>
                <w:u w:val="none"/>
              </w:rPr>
            </w:pPr>
          </w:p>
        </w:tc>
        <w:tc>
          <w:tcPr>
            <w:tcW w:w="2264" w:type="dxa"/>
            <w:tcBorders>
              <w:top w:val="nil"/>
              <w:left w:val="nil"/>
              <w:bottom w:val="nil"/>
              <w:right w:val="nil"/>
            </w:tcBorders>
            <w:shd w:val="clear" w:color="auto" w:fill="auto"/>
            <w:vAlign w:val="center"/>
          </w:tcPr>
          <w:p w14:paraId="1130D3EA">
            <w:pPr>
              <w:rPr>
                <w:rFonts w:hint="eastAsia" w:ascii="宋体" w:hAnsi="宋体" w:eastAsia="宋体" w:cs="宋体"/>
                <w:i w:val="0"/>
                <w:iCs w:val="0"/>
                <w:color w:val="000000"/>
                <w:sz w:val="18"/>
                <w:szCs w:val="18"/>
                <w:u w:val="none"/>
              </w:rPr>
            </w:pPr>
          </w:p>
        </w:tc>
        <w:tc>
          <w:tcPr>
            <w:tcW w:w="521" w:type="dxa"/>
            <w:tcBorders>
              <w:top w:val="nil"/>
              <w:left w:val="nil"/>
              <w:bottom w:val="nil"/>
              <w:right w:val="nil"/>
            </w:tcBorders>
            <w:shd w:val="clear" w:color="auto" w:fill="auto"/>
            <w:vAlign w:val="center"/>
          </w:tcPr>
          <w:p w14:paraId="58785725">
            <w:pPr>
              <w:rPr>
                <w:rFonts w:hint="eastAsia" w:ascii="宋体" w:hAnsi="宋体" w:eastAsia="宋体" w:cs="宋体"/>
                <w:i w:val="0"/>
                <w:iCs w:val="0"/>
                <w:color w:val="000000"/>
                <w:sz w:val="18"/>
                <w:szCs w:val="18"/>
                <w:u w:val="none"/>
              </w:rPr>
            </w:pPr>
          </w:p>
        </w:tc>
        <w:tc>
          <w:tcPr>
            <w:tcW w:w="1677" w:type="dxa"/>
            <w:tcBorders>
              <w:top w:val="nil"/>
              <w:left w:val="nil"/>
              <w:bottom w:val="nil"/>
              <w:right w:val="nil"/>
            </w:tcBorders>
            <w:shd w:val="clear" w:color="auto" w:fill="auto"/>
            <w:vAlign w:val="center"/>
          </w:tcPr>
          <w:p w14:paraId="112962F1">
            <w:pPr>
              <w:rPr>
                <w:rFonts w:hint="eastAsia" w:ascii="宋体" w:hAnsi="宋体" w:eastAsia="宋体" w:cs="宋体"/>
                <w:i w:val="0"/>
                <w:iCs w:val="0"/>
                <w:color w:val="000000"/>
                <w:sz w:val="18"/>
                <w:szCs w:val="18"/>
                <w:u w:val="none"/>
              </w:rPr>
            </w:pPr>
          </w:p>
        </w:tc>
        <w:tc>
          <w:tcPr>
            <w:tcW w:w="521" w:type="dxa"/>
            <w:tcBorders>
              <w:top w:val="nil"/>
              <w:left w:val="nil"/>
              <w:bottom w:val="nil"/>
              <w:right w:val="nil"/>
            </w:tcBorders>
            <w:shd w:val="clear" w:color="auto" w:fill="auto"/>
            <w:vAlign w:val="center"/>
          </w:tcPr>
          <w:p w14:paraId="611B3E6E">
            <w:pPr>
              <w:rPr>
                <w:rFonts w:hint="eastAsia" w:ascii="宋体" w:hAnsi="宋体" w:eastAsia="宋体" w:cs="宋体"/>
                <w:i w:val="0"/>
                <w:iCs w:val="0"/>
                <w:color w:val="000000"/>
                <w:sz w:val="18"/>
                <w:szCs w:val="18"/>
                <w:u w:val="none"/>
              </w:rPr>
            </w:pPr>
          </w:p>
        </w:tc>
        <w:tc>
          <w:tcPr>
            <w:tcW w:w="1091" w:type="dxa"/>
            <w:tcBorders>
              <w:top w:val="nil"/>
              <w:left w:val="nil"/>
              <w:bottom w:val="nil"/>
              <w:right w:val="nil"/>
            </w:tcBorders>
            <w:shd w:val="clear" w:color="auto" w:fill="auto"/>
            <w:vAlign w:val="center"/>
          </w:tcPr>
          <w:p w14:paraId="3052E934">
            <w:pPr>
              <w:rPr>
                <w:rFonts w:hint="eastAsia" w:ascii="宋体" w:hAnsi="宋体" w:eastAsia="宋体" w:cs="宋体"/>
                <w:i w:val="0"/>
                <w:iCs w:val="0"/>
                <w:color w:val="000000"/>
                <w:sz w:val="18"/>
                <w:szCs w:val="18"/>
                <w:u w:val="none"/>
              </w:rPr>
            </w:pPr>
          </w:p>
        </w:tc>
        <w:tc>
          <w:tcPr>
            <w:tcW w:w="505" w:type="dxa"/>
            <w:tcBorders>
              <w:top w:val="nil"/>
              <w:left w:val="nil"/>
              <w:bottom w:val="nil"/>
              <w:right w:val="nil"/>
            </w:tcBorders>
            <w:shd w:val="clear" w:color="auto" w:fill="auto"/>
            <w:vAlign w:val="center"/>
          </w:tcPr>
          <w:p w14:paraId="1A5C6F6C">
            <w:pPr>
              <w:rPr>
                <w:rFonts w:hint="eastAsia" w:ascii="宋体" w:hAnsi="宋体" w:eastAsia="宋体" w:cs="宋体"/>
                <w:i w:val="0"/>
                <w:iCs w:val="0"/>
                <w:color w:val="000000"/>
                <w:sz w:val="18"/>
                <w:szCs w:val="18"/>
                <w:u w:val="none"/>
              </w:rPr>
            </w:pPr>
          </w:p>
        </w:tc>
        <w:tc>
          <w:tcPr>
            <w:tcW w:w="456" w:type="dxa"/>
            <w:tcBorders>
              <w:top w:val="nil"/>
              <w:left w:val="nil"/>
              <w:bottom w:val="nil"/>
              <w:right w:val="nil"/>
            </w:tcBorders>
            <w:shd w:val="clear" w:color="auto" w:fill="auto"/>
            <w:vAlign w:val="center"/>
          </w:tcPr>
          <w:p w14:paraId="7C2B8F78">
            <w:pPr>
              <w:rPr>
                <w:rFonts w:hint="eastAsia" w:ascii="宋体" w:hAnsi="宋体" w:eastAsia="宋体" w:cs="宋体"/>
                <w:i w:val="0"/>
                <w:iCs w:val="0"/>
                <w:color w:val="000000"/>
                <w:sz w:val="18"/>
                <w:szCs w:val="18"/>
                <w:u w:val="none"/>
              </w:rPr>
            </w:pPr>
          </w:p>
        </w:tc>
        <w:tc>
          <w:tcPr>
            <w:tcW w:w="2557" w:type="dxa"/>
            <w:tcBorders>
              <w:top w:val="nil"/>
              <w:left w:val="nil"/>
              <w:bottom w:val="nil"/>
              <w:right w:val="nil"/>
            </w:tcBorders>
            <w:shd w:val="clear" w:color="auto" w:fill="auto"/>
            <w:vAlign w:val="center"/>
          </w:tcPr>
          <w:p w14:paraId="0A2FBB71">
            <w:pPr>
              <w:rPr>
                <w:rFonts w:hint="eastAsia" w:ascii="宋体" w:hAnsi="宋体" w:eastAsia="宋体" w:cs="宋体"/>
                <w:i w:val="0"/>
                <w:iCs w:val="0"/>
                <w:color w:val="000000"/>
                <w:sz w:val="18"/>
                <w:szCs w:val="18"/>
                <w:u w:val="none"/>
              </w:rPr>
            </w:pPr>
          </w:p>
        </w:tc>
      </w:tr>
      <w:tr w14:paraId="0186DD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4" w:hRule="atLeast"/>
        </w:trPr>
        <w:tc>
          <w:tcPr>
            <w:tcW w:w="14103"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70E899B5">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33CD6B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2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28806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11367"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1D36DB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51050024Y000010205458-其他运转缺口补助经费</w:t>
            </w:r>
          </w:p>
        </w:tc>
      </w:tr>
      <w:tr w14:paraId="101289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2" w:hRule="atLeast"/>
        </w:trPr>
        <w:tc>
          <w:tcPr>
            <w:tcW w:w="27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11932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675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87559B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市政法部门</w:t>
            </w:r>
          </w:p>
        </w:tc>
        <w:tc>
          <w:tcPr>
            <w:tcW w:w="1091" w:type="dxa"/>
            <w:tcBorders>
              <w:top w:val="nil"/>
              <w:left w:val="nil"/>
              <w:bottom w:val="nil"/>
              <w:right w:val="nil"/>
            </w:tcBorders>
            <w:shd w:val="clear" w:color="auto" w:fill="auto"/>
            <w:vAlign w:val="center"/>
          </w:tcPr>
          <w:p w14:paraId="1B2E9A2A">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1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3E49D4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中国共产党泸州市委员会政法委员会</w:t>
            </w:r>
          </w:p>
        </w:tc>
      </w:tr>
      <w:tr w14:paraId="18D0DB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7EFAA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20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869FC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675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13933C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60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F92E944">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226AC2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8"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F1ABC3">
            <w:pP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752C4F">
            <w:pPr>
              <w:rPr>
                <w:rFonts w:hint="eastAsia" w:ascii="宋体" w:hAnsi="宋体" w:eastAsia="宋体" w:cs="宋体"/>
                <w:i w:val="0"/>
                <w:iCs w:val="0"/>
                <w:color w:val="000000"/>
                <w:sz w:val="18"/>
                <w:szCs w:val="18"/>
                <w:u w:val="none"/>
              </w:rPr>
            </w:pPr>
          </w:p>
        </w:tc>
        <w:tc>
          <w:tcPr>
            <w:tcW w:w="675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7D90C5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提高预算编制质量，严格执行预算，保障单位日常运转。</w:t>
            </w:r>
          </w:p>
        </w:tc>
        <w:tc>
          <w:tcPr>
            <w:tcW w:w="460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C5F3355">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对照年度目标，说明相关任务目标的完成情况（100字以内）</w:t>
            </w:r>
          </w:p>
        </w:tc>
      </w:tr>
      <w:tr w14:paraId="7FCCDC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3"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0BFC46">
            <w:pP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5F3D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11367"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EE0B4AC">
            <w:pPr>
              <w:rPr>
                <w:rFonts w:hint="eastAsia" w:ascii="宋体" w:hAnsi="宋体" w:eastAsia="宋体" w:cs="宋体"/>
                <w:i w:val="0"/>
                <w:iCs w:val="0"/>
                <w:color w:val="000000"/>
                <w:sz w:val="18"/>
                <w:szCs w:val="18"/>
                <w:u w:val="none"/>
              </w:rPr>
            </w:pPr>
          </w:p>
        </w:tc>
      </w:tr>
      <w:tr w14:paraId="51C295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1"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BA353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08E4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B127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1D9B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45D5F0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AA5B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07A4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7E2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66EF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260719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6"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26BCB4">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47CA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F2E1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10.20</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E82D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10.20</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1B54D5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10.20</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D888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C8FA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844AC">
            <w:pPr>
              <w:jc w:val="center"/>
              <w:rPr>
                <w:rFonts w:hint="eastAsia" w:ascii="宋体" w:hAnsi="宋体" w:eastAsia="宋体" w:cs="宋体"/>
                <w:i w:val="0"/>
                <w:iCs w:val="0"/>
                <w:color w:val="000000"/>
                <w:sz w:val="18"/>
                <w:szCs w:val="18"/>
                <w:u w:val="none"/>
              </w:rPr>
            </w:pPr>
          </w:p>
        </w:tc>
        <w:tc>
          <w:tcPr>
            <w:tcW w:w="25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F03AB0">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155BEC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1"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C51900">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9B88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AC75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10.20</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1801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10.20</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5AB6A6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10.20</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6CCE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BF4E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D11B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4B7528">
            <w:pPr>
              <w:rPr>
                <w:rFonts w:hint="eastAsia" w:ascii="黑体" w:hAnsi="黑体" w:eastAsia="黑体" w:cs="黑体"/>
                <w:i/>
                <w:iCs/>
                <w:color w:val="000000"/>
                <w:sz w:val="18"/>
                <w:szCs w:val="18"/>
                <w:u w:val="none"/>
              </w:rPr>
            </w:pPr>
          </w:p>
        </w:tc>
      </w:tr>
      <w:tr w14:paraId="417A65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08C237">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6EE9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D8C5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38C4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65EBD2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5A0D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CEDA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0BEE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09A9A6">
            <w:pPr>
              <w:rPr>
                <w:rFonts w:hint="eastAsia" w:ascii="黑体" w:hAnsi="黑体" w:eastAsia="黑体" w:cs="黑体"/>
                <w:i/>
                <w:iCs/>
                <w:color w:val="000000"/>
                <w:sz w:val="18"/>
                <w:szCs w:val="18"/>
                <w:u w:val="none"/>
              </w:rPr>
            </w:pPr>
          </w:p>
        </w:tc>
      </w:tr>
      <w:tr w14:paraId="516219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1"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90030A">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4853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5A38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7974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403A34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1E59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9A25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DDD4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BC8DC5">
            <w:pPr>
              <w:rPr>
                <w:rFonts w:hint="eastAsia" w:ascii="黑体" w:hAnsi="黑体" w:eastAsia="黑体" w:cs="黑体"/>
                <w:i/>
                <w:iCs/>
                <w:color w:val="000000"/>
                <w:sz w:val="18"/>
                <w:szCs w:val="18"/>
                <w:u w:val="none"/>
              </w:rPr>
            </w:pPr>
          </w:p>
        </w:tc>
      </w:tr>
      <w:tr w14:paraId="6034EC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AAF02C">
            <w:pPr>
              <w:jc w:val="center"/>
              <w:rPr>
                <w:rFonts w:hint="eastAsia" w:ascii="宋体" w:hAnsi="宋体" w:eastAsia="宋体" w:cs="宋体"/>
                <w:i w:val="0"/>
                <w:iCs w:val="0"/>
                <w:color w:val="000000"/>
                <w:sz w:val="18"/>
                <w:szCs w:val="18"/>
                <w:u w:val="none"/>
              </w:rPr>
            </w:pP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938A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220B0">
            <w:pPr>
              <w:jc w:val="center"/>
              <w:rPr>
                <w:rFonts w:hint="eastAsia" w:ascii="微软雅黑" w:hAnsi="微软雅黑" w:eastAsia="微软雅黑" w:cs="微软雅黑"/>
                <w:i/>
                <w:iCs/>
                <w:color w:val="000000"/>
                <w:sz w:val="16"/>
                <w:szCs w:val="16"/>
                <w:u w:val="none"/>
              </w:rPr>
            </w:pP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B243B">
            <w:pPr>
              <w:jc w:val="center"/>
              <w:rPr>
                <w:rFonts w:hint="eastAsia" w:ascii="微软雅黑" w:hAnsi="微软雅黑" w:eastAsia="微软雅黑" w:cs="微软雅黑"/>
                <w:i/>
                <w:iCs/>
                <w:color w:val="000000"/>
                <w:sz w:val="16"/>
                <w:szCs w:val="16"/>
                <w:u w:val="none"/>
              </w:rPr>
            </w:pP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4FFC9AD">
            <w:pPr>
              <w:jc w:val="center"/>
              <w:rPr>
                <w:rFonts w:hint="eastAsia" w:ascii="微软雅黑" w:hAnsi="微软雅黑" w:eastAsia="微软雅黑" w:cs="微软雅黑"/>
                <w:i/>
                <w:iCs/>
                <w:color w:val="000000"/>
                <w:sz w:val="16"/>
                <w:szCs w:val="16"/>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11E97">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E92B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707B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E2EAD6">
            <w:pPr>
              <w:rPr>
                <w:rFonts w:hint="eastAsia" w:ascii="黑体" w:hAnsi="黑体" w:eastAsia="黑体" w:cs="黑体"/>
                <w:i/>
                <w:iCs/>
                <w:color w:val="000000"/>
                <w:sz w:val="18"/>
                <w:szCs w:val="18"/>
                <w:u w:val="none"/>
              </w:rPr>
            </w:pPr>
          </w:p>
        </w:tc>
      </w:tr>
      <w:tr w14:paraId="30AFDD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34567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58B7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FBC0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1FC8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7963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046E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52A3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FCE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006E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A6B4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67CD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58440B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904F54">
            <w:pPr>
              <w:jc w:val="center"/>
              <w:rPr>
                <w:rFonts w:hint="eastAsia" w:ascii="宋体" w:hAnsi="宋体" w:eastAsia="宋体" w:cs="宋体"/>
                <w:i w:val="0"/>
                <w:iCs w:val="0"/>
                <w:color w:val="000000"/>
                <w:sz w:val="18"/>
                <w:szCs w:val="18"/>
                <w:u w:val="none"/>
              </w:rPr>
            </w:pPr>
          </w:p>
        </w:tc>
        <w:tc>
          <w:tcPr>
            <w:tcW w:w="20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4402B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6237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8817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科目调整次数</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7832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1A18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3EC9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B9AA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1417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4486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6F98C">
            <w:pPr>
              <w:jc w:val="center"/>
              <w:rPr>
                <w:rFonts w:hint="eastAsia" w:ascii="微软雅黑" w:hAnsi="微软雅黑" w:eastAsia="微软雅黑" w:cs="微软雅黑"/>
                <w:i/>
                <w:iCs/>
                <w:color w:val="000000"/>
                <w:sz w:val="16"/>
                <w:szCs w:val="16"/>
                <w:u w:val="none"/>
              </w:rPr>
            </w:pPr>
          </w:p>
        </w:tc>
      </w:tr>
      <w:tr w14:paraId="20942D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8"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0C43CD">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819A7C">
            <w:pPr>
              <w:jc w:val="center"/>
              <w:rPr>
                <w:rFonts w:hint="eastAsia" w:ascii="宋体" w:hAnsi="宋体" w:eastAsia="宋体" w:cs="宋体"/>
                <w:i w:val="0"/>
                <w:iCs w:val="0"/>
                <w:color w:val="000000"/>
                <w:sz w:val="18"/>
                <w:szCs w:val="18"/>
                <w:u w:val="none"/>
              </w:rPr>
            </w:pP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68C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1916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预算编制准确率（计算方法为：∣（执行数-预算数）/预算数∣）</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AC51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65C9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B383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2D20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9134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4539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D0DFF">
            <w:pPr>
              <w:jc w:val="center"/>
              <w:rPr>
                <w:rFonts w:hint="eastAsia" w:ascii="微软雅黑" w:hAnsi="微软雅黑" w:eastAsia="微软雅黑" w:cs="微软雅黑"/>
                <w:i/>
                <w:iCs/>
                <w:color w:val="000000"/>
                <w:sz w:val="16"/>
                <w:szCs w:val="16"/>
                <w:u w:val="none"/>
              </w:rPr>
            </w:pPr>
          </w:p>
        </w:tc>
      </w:tr>
      <w:tr w14:paraId="008F43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4"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9C2174">
            <w:pPr>
              <w:jc w:val="center"/>
              <w:rPr>
                <w:rFonts w:hint="eastAsia" w:ascii="宋体" w:hAnsi="宋体" w:eastAsia="宋体" w:cs="宋体"/>
                <w:i w:val="0"/>
                <w:iCs w:val="0"/>
                <w:color w:val="000000"/>
                <w:sz w:val="18"/>
                <w:szCs w:val="18"/>
                <w:u w:val="none"/>
              </w:rPr>
            </w:pPr>
          </w:p>
        </w:tc>
        <w:tc>
          <w:tcPr>
            <w:tcW w:w="20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2057B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B6FC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经济效益指标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582C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“三公经费”控制率[计算方法为：（三公经费实际支出数/预算安排数]×100%）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CDCD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C1A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24FC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A805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319E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84E7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DB8F0">
            <w:pPr>
              <w:jc w:val="center"/>
              <w:rPr>
                <w:rFonts w:hint="eastAsia" w:ascii="微软雅黑" w:hAnsi="微软雅黑" w:eastAsia="微软雅黑" w:cs="微软雅黑"/>
                <w:i/>
                <w:iCs/>
                <w:color w:val="000000"/>
                <w:sz w:val="16"/>
                <w:szCs w:val="16"/>
                <w:u w:val="none"/>
              </w:rPr>
            </w:pPr>
          </w:p>
        </w:tc>
      </w:tr>
      <w:tr w14:paraId="622C9F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607381">
            <w:pPr>
              <w:jc w:val="center"/>
              <w:rPr>
                <w:rFonts w:hint="eastAsia" w:ascii="宋体" w:hAnsi="宋体" w:eastAsia="宋体" w:cs="宋体"/>
                <w:i w:val="0"/>
                <w:iCs w:val="0"/>
                <w:color w:val="000000"/>
                <w:sz w:val="18"/>
                <w:szCs w:val="18"/>
                <w:u w:val="none"/>
              </w:rPr>
            </w:pP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14ECA5">
            <w:pPr>
              <w:jc w:val="center"/>
              <w:rPr>
                <w:rFonts w:hint="eastAsia" w:ascii="宋体" w:hAnsi="宋体" w:eastAsia="宋体" w:cs="宋体"/>
                <w:i w:val="0"/>
                <w:iCs w:val="0"/>
                <w:color w:val="000000"/>
                <w:sz w:val="18"/>
                <w:szCs w:val="18"/>
                <w:u w:val="none"/>
              </w:rPr>
            </w:pP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A3C3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D7E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运转保障率</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A8C2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77D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67ED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8B56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D571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A06B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ECE56">
            <w:pPr>
              <w:jc w:val="center"/>
              <w:rPr>
                <w:rFonts w:hint="eastAsia" w:ascii="微软雅黑" w:hAnsi="微软雅黑" w:eastAsia="微软雅黑" w:cs="微软雅黑"/>
                <w:i/>
                <w:iCs/>
                <w:color w:val="000000"/>
                <w:sz w:val="16"/>
                <w:szCs w:val="16"/>
                <w:u w:val="none"/>
              </w:rPr>
            </w:pPr>
          </w:p>
        </w:tc>
      </w:tr>
      <w:tr w14:paraId="1B4DEC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1058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512477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88C5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CD10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55CF1">
            <w:pPr>
              <w:rPr>
                <w:rFonts w:hint="eastAsia" w:ascii="宋体" w:hAnsi="宋体" w:eastAsia="宋体" w:cs="宋体"/>
                <w:i w:val="0"/>
                <w:iCs w:val="0"/>
                <w:color w:val="000000"/>
                <w:sz w:val="18"/>
                <w:szCs w:val="18"/>
                <w:u w:val="none"/>
              </w:rPr>
            </w:pPr>
          </w:p>
        </w:tc>
      </w:tr>
      <w:tr w14:paraId="1E1AB9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664E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134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EF9C47D">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结合自评情况，说明项目自评总分，说明项目实施取得的成效或成果。（200字以内）</w:t>
            </w:r>
          </w:p>
        </w:tc>
      </w:tr>
      <w:tr w14:paraId="01D0AE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2"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249B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134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F9988CE">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结合自评情况，分析存在的问题及原因。（200字以内）</w:t>
            </w:r>
          </w:p>
        </w:tc>
      </w:tr>
      <w:tr w14:paraId="45D67B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F593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134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0C4E6A9">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针对项目自评中发现的问题，提出下一步改进完善的意见及有关政策性建议。（200字以内）</w:t>
            </w:r>
          </w:p>
        </w:tc>
      </w:tr>
      <w:tr w14:paraId="7D8466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729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5541D18">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项目负责人：赵兴梅</w:t>
            </w:r>
          </w:p>
        </w:tc>
        <w:tc>
          <w:tcPr>
            <w:tcW w:w="680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CE6BD8F">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财务负责人：王良洪</w:t>
            </w:r>
          </w:p>
        </w:tc>
      </w:tr>
    </w:tbl>
    <w:p w14:paraId="0C7583FE">
      <w:pPr>
        <w:pStyle w:val="5"/>
        <w:rPr>
          <w:rFonts w:hint="eastAsia" w:ascii="Times New Roman" w:hAnsi="Times New Roman" w:eastAsia="黑体" w:cs="黑体"/>
          <w:color w:val="auto"/>
          <w:kern w:val="0"/>
          <w:sz w:val="32"/>
          <w:szCs w:val="32"/>
          <w:highlight w:val="none"/>
          <w:shd w:val="clear" w:color="auto" w:fill="FFFFFF"/>
          <w:lang w:val="zh-CN"/>
        </w:rPr>
      </w:pPr>
    </w:p>
    <w:p w14:paraId="3A628E75">
      <w:pPr>
        <w:pStyle w:val="5"/>
        <w:rPr>
          <w:rFonts w:hint="eastAsia" w:ascii="Times New Roman" w:hAnsi="Times New Roman" w:eastAsia="黑体" w:cs="黑体"/>
          <w:color w:val="auto"/>
          <w:kern w:val="0"/>
          <w:sz w:val="32"/>
          <w:szCs w:val="32"/>
          <w:highlight w:val="none"/>
          <w:shd w:val="clear" w:color="auto" w:fill="FFFFFF"/>
          <w:lang w:val="zh-CN"/>
        </w:rPr>
      </w:pPr>
    </w:p>
    <w:p w14:paraId="3F331184">
      <w:pPr>
        <w:pStyle w:val="5"/>
        <w:rPr>
          <w:rFonts w:hint="eastAsia" w:ascii="Times New Roman" w:hAnsi="Times New Roman" w:eastAsia="黑体" w:cs="黑体"/>
          <w:color w:val="auto"/>
          <w:kern w:val="0"/>
          <w:sz w:val="32"/>
          <w:szCs w:val="32"/>
          <w:highlight w:val="none"/>
          <w:shd w:val="clear" w:color="auto" w:fill="FFFFFF"/>
          <w:lang w:val="zh-CN"/>
        </w:rPr>
      </w:pPr>
    </w:p>
    <w:p w14:paraId="68865971">
      <w:pPr>
        <w:pStyle w:val="5"/>
        <w:rPr>
          <w:rFonts w:hint="eastAsia" w:ascii="Times New Roman" w:hAnsi="Times New Roman" w:eastAsia="黑体" w:cs="黑体"/>
          <w:color w:val="auto"/>
          <w:kern w:val="0"/>
          <w:sz w:val="32"/>
          <w:szCs w:val="32"/>
          <w:highlight w:val="none"/>
          <w:shd w:val="clear" w:color="auto" w:fill="FFFFFF"/>
          <w:lang w:val="zh-CN"/>
        </w:rPr>
      </w:pPr>
    </w:p>
    <w:tbl>
      <w:tblPr>
        <w:tblStyle w:val="15"/>
        <w:tblW w:w="15141"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51"/>
        <w:gridCol w:w="222"/>
        <w:gridCol w:w="1074"/>
        <w:gridCol w:w="522"/>
        <w:gridCol w:w="150"/>
        <w:gridCol w:w="74"/>
        <w:gridCol w:w="495"/>
        <w:gridCol w:w="360"/>
        <w:gridCol w:w="403"/>
        <w:gridCol w:w="510"/>
        <w:gridCol w:w="1545"/>
        <w:gridCol w:w="856"/>
        <w:gridCol w:w="223"/>
        <w:gridCol w:w="245"/>
        <w:gridCol w:w="26"/>
        <w:gridCol w:w="494"/>
        <w:gridCol w:w="91"/>
        <w:gridCol w:w="223"/>
        <w:gridCol w:w="271"/>
        <w:gridCol w:w="585"/>
        <w:gridCol w:w="223"/>
        <w:gridCol w:w="271"/>
        <w:gridCol w:w="16"/>
        <w:gridCol w:w="520"/>
        <w:gridCol w:w="49"/>
        <w:gridCol w:w="223"/>
        <w:gridCol w:w="271"/>
        <w:gridCol w:w="550"/>
        <w:gridCol w:w="35"/>
        <w:gridCol w:w="223"/>
        <w:gridCol w:w="248"/>
        <w:gridCol w:w="26"/>
        <w:gridCol w:w="460"/>
        <w:gridCol w:w="154"/>
        <w:gridCol w:w="223"/>
        <w:gridCol w:w="271"/>
        <w:gridCol w:w="585"/>
        <w:gridCol w:w="223"/>
        <w:gridCol w:w="271"/>
        <w:gridCol w:w="585"/>
        <w:gridCol w:w="248"/>
        <w:gridCol w:w="246"/>
      </w:tblGrid>
      <w:tr w14:paraId="621A45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46" w:type="dxa"/>
          <w:trHeight w:val="903" w:hRule="atLeast"/>
        </w:trPr>
        <w:tc>
          <w:tcPr>
            <w:tcW w:w="14895" w:type="dxa"/>
            <w:gridSpan w:val="41"/>
            <w:tcBorders>
              <w:top w:val="single" w:color="000000" w:sz="4" w:space="0"/>
              <w:left w:val="single" w:color="000000" w:sz="4" w:space="0"/>
              <w:bottom w:val="single" w:color="000000" w:sz="4" w:space="0"/>
              <w:right w:val="single" w:color="000000" w:sz="4" w:space="0"/>
            </w:tcBorders>
            <w:shd w:val="clear" w:color="auto" w:fill="auto"/>
            <w:vAlign w:val="center"/>
          </w:tcPr>
          <w:p w14:paraId="011815AE">
            <w:pPr>
              <w:keepNext w:val="0"/>
              <w:keepLines w:val="0"/>
              <w:widowControl/>
              <w:suppressLineNumbers w:val="0"/>
              <w:jc w:val="center"/>
              <w:textAlignment w:val="center"/>
              <w:rPr>
                <w:rFonts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5F3001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46" w:type="dxa"/>
          <w:trHeight w:val="285" w:hRule="atLeast"/>
        </w:trPr>
        <w:tc>
          <w:tcPr>
            <w:tcW w:w="290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AF70C6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11987" w:type="dxa"/>
            <w:gridSpan w:val="35"/>
            <w:tcBorders>
              <w:top w:val="single" w:color="000000" w:sz="4" w:space="0"/>
              <w:left w:val="single" w:color="000000" w:sz="4" w:space="0"/>
              <w:bottom w:val="single" w:color="000000" w:sz="4" w:space="0"/>
              <w:right w:val="single" w:color="000000" w:sz="4" w:space="0"/>
            </w:tcBorders>
            <w:shd w:val="clear" w:color="auto" w:fill="auto"/>
            <w:vAlign w:val="center"/>
          </w:tcPr>
          <w:p w14:paraId="5C98BD7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驻村第一书记经费</w:t>
            </w:r>
          </w:p>
        </w:tc>
      </w:tr>
      <w:tr w14:paraId="55365A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46" w:type="dxa"/>
          <w:trHeight w:val="513" w:hRule="atLeast"/>
        </w:trPr>
        <w:tc>
          <w:tcPr>
            <w:tcW w:w="290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22A773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7374" w:type="dxa"/>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68270B3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市委组织部</w:t>
            </w:r>
          </w:p>
        </w:tc>
        <w:tc>
          <w:tcPr>
            <w:tcW w:w="1093" w:type="dxa"/>
            <w:gridSpan w:val="4"/>
            <w:tcBorders>
              <w:top w:val="nil"/>
              <w:left w:val="nil"/>
              <w:bottom w:val="nil"/>
              <w:right w:val="nil"/>
            </w:tcBorders>
            <w:shd w:val="clear" w:color="auto" w:fill="auto"/>
            <w:vAlign w:val="center"/>
          </w:tcPr>
          <w:p w14:paraId="05F195A3">
            <w:pPr>
              <w:keepNext w:val="0"/>
              <w:keepLines w:val="0"/>
              <w:widowControl/>
              <w:suppressLineNumbers w:val="0"/>
              <w:jc w:val="left"/>
              <w:textAlignment w:val="center"/>
              <w:rPr>
                <w:rFonts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20"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66FB4D0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中共泸州市委政法委员会</w:t>
            </w:r>
          </w:p>
        </w:tc>
      </w:tr>
      <w:tr w14:paraId="652A97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46" w:type="dxa"/>
          <w:trHeight w:val="285" w:hRule="atLeast"/>
        </w:trPr>
        <w:tc>
          <w:tcPr>
            <w:tcW w:w="8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9B0B0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2053" w:type="dxa"/>
            <w:gridSpan w:val="5"/>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F85D4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7374" w:type="dxa"/>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76FA421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613" w:type="dxa"/>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0C3E67B6">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1C9044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46" w:type="dxa"/>
          <w:trHeight w:val="880" w:hRule="atLeast"/>
        </w:trPr>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67DCEA">
            <w:pPr>
              <w:rPr>
                <w:rFonts w:hint="eastAsia" w:ascii="宋体" w:hAnsi="宋体" w:eastAsia="宋体" w:cs="宋体"/>
                <w:i w:val="0"/>
                <w:iCs w:val="0"/>
                <w:color w:val="000000"/>
                <w:sz w:val="18"/>
                <w:szCs w:val="18"/>
                <w:u w:val="none"/>
              </w:rPr>
            </w:pPr>
          </w:p>
        </w:tc>
        <w:tc>
          <w:tcPr>
            <w:tcW w:w="2053"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68B77F">
            <w:pPr>
              <w:rPr>
                <w:rFonts w:hint="eastAsia" w:ascii="宋体" w:hAnsi="宋体" w:eastAsia="宋体" w:cs="宋体"/>
                <w:i w:val="0"/>
                <w:iCs w:val="0"/>
                <w:color w:val="000000"/>
                <w:sz w:val="18"/>
                <w:szCs w:val="18"/>
                <w:u w:val="none"/>
              </w:rPr>
            </w:pPr>
          </w:p>
        </w:tc>
        <w:tc>
          <w:tcPr>
            <w:tcW w:w="7374" w:type="dxa"/>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3686610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　2024年派驻第一书记到合江将军湖村，开展巩固脱贫功坚成果、助力乡村振兴驻村工作。</w:t>
            </w:r>
          </w:p>
        </w:tc>
        <w:tc>
          <w:tcPr>
            <w:tcW w:w="4613" w:type="dxa"/>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02CB7E36">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2024年我委派出的两名驻村工作队员到将军糊村开展驻村工作：考勤100%，村两委对其开展巩固脱贫功坚成果、助力乡村振兴驻村工作认可度100%。</w:t>
            </w:r>
          </w:p>
        </w:tc>
      </w:tr>
      <w:tr w14:paraId="406662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46" w:type="dxa"/>
          <w:trHeight w:val="693" w:hRule="atLeast"/>
        </w:trPr>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F2B8AC">
            <w:pPr>
              <w:rPr>
                <w:rFonts w:hint="eastAsia" w:ascii="宋体" w:hAnsi="宋体" w:eastAsia="宋体" w:cs="宋体"/>
                <w:i w:val="0"/>
                <w:iCs w:val="0"/>
                <w:color w:val="000000"/>
                <w:sz w:val="18"/>
                <w:szCs w:val="18"/>
                <w:u w:val="none"/>
              </w:rPr>
            </w:pPr>
          </w:p>
        </w:tc>
        <w:tc>
          <w:tcPr>
            <w:tcW w:w="205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77B45E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11987" w:type="dxa"/>
            <w:gridSpan w:val="35"/>
            <w:tcBorders>
              <w:top w:val="single" w:color="000000" w:sz="4" w:space="0"/>
              <w:left w:val="single" w:color="000000" w:sz="4" w:space="0"/>
              <w:bottom w:val="single" w:color="000000" w:sz="4" w:space="0"/>
              <w:right w:val="single" w:color="000000" w:sz="4" w:space="0"/>
            </w:tcBorders>
            <w:shd w:val="clear" w:color="auto" w:fill="auto"/>
            <w:vAlign w:val="center"/>
          </w:tcPr>
          <w:p w14:paraId="4A76445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进行法学研究与课题攻关，法治宣传与普法活动，研究过程中进行学术交流与人才培养。为当地企业发展提供法律维权。</w:t>
            </w:r>
          </w:p>
        </w:tc>
      </w:tr>
      <w:tr w14:paraId="6A11DF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46" w:type="dxa"/>
          <w:trHeight w:val="540" w:hRule="atLeast"/>
        </w:trPr>
        <w:tc>
          <w:tcPr>
            <w:tcW w:w="8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75C13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205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EA3054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177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EA006F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28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0D4EDF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2720"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C2BA93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9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D8CFF6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D22D41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5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FE04C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60"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9BCA96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2FA1CE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46" w:type="dxa"/>
          <w:trHeight w:val="345" w:hRule="atLeast"/>
        </w:trPr>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AA311F">
            <w:pPr>
              <w:jc w:val="center"/>
              <w:rPr>
                <w:rFonts w:hint="eastAsia" w:ascii="宋体" w:hAnsi="宋体" w:eastAsia="宋体" w:cs="宋体"/>
                <w:i w:val="0"/>
                <w:iCs w:val="0"/>
                <w:color w:val="000000"/>
                <w:sz w:val="18"/>
                <w:szCs w:val="18"/>
                <w:u w:val="none"/>
              </w:rPr>
            </w:pPr>
          </w:p>
        </w:tc>
        <w:tc>
          <w:tcPr>
            <w:tcW w:w="205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70B431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177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004FEE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34.00</w:t>
            </w:r>
          </w:p>
        </w:tc>
        <w:tc>
          <w:tcPr>
            <w:tcW w:w="28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ACAE12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34.00</w:t>
            </w:r>
          </w:p>
        </w:tc>
        <w:tc>
          <w:tcPr>
            <w:tcW w:w="2720"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0C4A7F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34.00</w:t>
            </w:r>
          </w:p>
        </w:tc>
        <w:tc>
          <w:tcPr>
            <w:tcW w:w="109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995F2B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738F4B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5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62AE8E">
            <w:pPr>
              <w:jc w:val="center"/>
              <w:rPr>
                <w:rFonts w:hint="eastAsia" w:ascii="宋体" w:hAnsi="宋体" w:eastAsia="宋体" w:cs="宋体"/>
                <w:i w:val="0"/>
                <w:iCs w:val="0"/>
                <w:color w:val="000000"/>
                <w:sz w:val="18"/>
                <w:szCs w:val="18"/>
                <w:u w:val="none"/>
              </w:rPr>
            </w:pPr>
          </w:p>
        </w:tc>
        <w:tc>
          <w:tcPr>
            <w:tcW w:w="2560" w:type="dxa"/>
            <w:gridSpan w:val="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15AD39">
            <w:pPr>
              <w:rPr>
                <w:rFonts w:hint="eastAsia" w:ascii="黑体" w:hAnsi="黑体" w:eastAsia="黑体" w:cs="黑体"/>
                <w:i/>
                <w:iCs/>
                <w:color w:val="000000"/>
                <w:sz w:val="18"/>
                <w:szCs w:val="18"/>
                <w:u w:val="none"/>
              </w:rPr>
            </w:pPr>
          </w:p>
        </w:tc>
      </w:tr>
      <w:tr w14:paraId="37627D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46" w:type="dxa"/>
          <w:trHeight w:val="390" w:hRule="atLeast"/>
        </w:trPr>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6DEFDA">
            <w:pPr>
              <w:jc w:val="center"/>
              <w:rPr>
                <w:rFonts w:hint="eastAsia" w:ascii="宋体" w:hAnsi="宋体" w:eastAsia="宋体" w:cs="宋体"/>
                <w:i w:val="0"/>
                <w:iCs w:val="0"/>
                <w:color w:val="000000"/>
                <w:sz w:val="18"/>
                <w:szCs w:val="18"/>
                <w:u w:val="none"/>
              </w:rPr>
            </w:pPr>
          </w:p>
        </w:tc>
        <w:tc>
          <w:tcPr>
            <w:tcW w:w="205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6AA855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177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43D610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34.00</w:t>
            </w:r>
          </w:p>
        </w:tc>
        <w:tc>
          <w:tcPr>
            <w:tcW w:w="28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5B1BC6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34.00</w:t>
            </w:r>
          </w:p>
        </w:tc>
        <w:tc>
          <w:tcPr>
            <w:tcW w:w="2720"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FEA174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34.00</w:t>
            </w:r>
          </w:p>
        </w:tc>
        <w:tc>
          <w:tcPr>
            <w:tcW w:w="109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5140ED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FCD7B1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41183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60" w:type="dxa"/>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2DC1BF">
            <w:pPr>
              <w:rPr>
                <w:rFonts w:hint="eastAsia" w:ascii="黑体" w:hAnsi="黑体" w:eastAsia="黑体" w:cs="黑体"/>
                <w:i/>
                <w:iCs/>
                <w:color w:val="000000"/>
                <w:sz w:val="18"/>
                <w:szCs w:val="18"/>
                <w:u w:val="none"/>
              </w:rPr>
            </w:pPr>
          </w:p>
        </w:tc>
      </w:tr>
      <w:tr w14:paraId="6B2CED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46" w:type="dxa"/>
          <w:trHeight w:val="408" w:hRule="atLeast"/>
        </w:trPr>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D8EF45">
            <w:pPr>
              <w:jc w:val="center"/>
              <w:rPr>
                <w:rFonts w:hint="eastAsia" w:ascii="宋体" w:hAnsi="宋体" w:eastAsia="宋体" w:cs="宋体"/>
                <w:i w:val="0"/>
                <w:iCs w:val="0"/>
                <w:color w:val="000000"/>
                <w:sz w:val="18"/>
                <w:szCs w:val="18"/>
                <w:u w:val="none"/>
              </w:rPr>
            </w:pPr>
          </w:p>
        </w:tc>
        <w:tc>
          <w:tcPr>
            <w:tcW w:w="205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7B18B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177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A7610C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8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8EBE10C">
            <w:pPr>
              <w:jc w:val="center"/>
              <w:rPr>
                <w:rFonts w:hint="eastAsia" w:ascii="宋体" w:hAnsi="宋体" w:eastAsia="宋体" w:cs="宋体"/>
                <w:i w:val="0"/>
                <w:iCs w:val="0"/>
                <w:color w:val="000000"/>
                <w:sz w:val="18"/>
                <w:szCs w:val="18"/>
                <w:u w:val="none"/>
              </w:rPr>
            </w:pPr>
          </w:p>
        </w:tc>
        <w:tc>
          <w:tcPr>
            <w:tcW w:w="2720"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B5E1851">
            <w:pPr>
              <w:jc w:val="center"/>
              <w:rPr>
                <w:rFonts w:hint="eastAsia" w:ascii="宋体" w:hAnsi="宋体" w:eastAsia="宋体" w:cs="宋体"/>
                <w:i w:val="0"/>
                <w:iCs w:val="0"/>
                <w:color w:val="000000"/>
                <w:sz w:val="18"/>
                <w:szCs w:val="18"/>
                <w:u w:val="none"/>
              </w:rPr>
            </w:pPr>
          </w:p>
        </w:tc>
        <w:tc>
          <w:tcPr>
            <w:tcW w:w="109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191FA0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55E578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7305A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60" w:type="dxa"/>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517685">
            <w:pPr>
              <w:rPr>
                <w:rFonts w:hint="eastAsia" w:ascii="黑体" w:hAnsi="黑体" w:eastAsia="黑体" w:cs="黑体"/>
                <w:i/>
                <w:iCs/>
                <w:color w:val="000000"/>
                <w:sz w:val="18"/>
                <w:szCs w:val="18"/>
                <w:u w:val="none"/>
              </w:rPr>
            </w:pPr>
          </w:p>
        </w:tc>
      </w:tr>
      <w:tr w14:paraId="3286AD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46" w:type="dxa"/>
          <w:trHeight w:val="360" w:hRule="atLeast"/>
        </w:trPr>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ACEF84">
            <w:pPr>
              <w:jc w:val="center"/>
              <w:rPr>
                <w:rFonts w:hint="eastAsia" w:ascii="宋体" w:hAnsi="宋体" w:eastAsia="宋体" w:cs="宋体"/>
                <w:i w:val="0"/>
                <w:iCs w:val="0"/>
                <w:color w:val="000000"/>
                <w:sz w:val="18"/>
                <w:szCs w:val="18"/>
                <w:u w:val="none"/>
              </w:rPr>
            </w:pPr>
          </w:p>
        </w:tc>
        <w:tc>
          <w:tcPr>
            <w:tcW w:w="205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A04FA2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177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E2F910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8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5DA68ED">
            <w:pPr>
              <w:jc w:val="center"/>
              <w:rPr>
                <w:rFonts w:hint="eastAsia" w:ascii="宋体" w:hAnsi="宋体" w:eastAsia="宋体" w:cs="宋体"/>
                <w:i w:val="0"/>
                <w:iCs w:val="0"/>
                <w:color w:val="000000"/>
                <w:sz w:val="18"/>
                <w:szCs w:val="18"/>
                <w:u w:val="none"/>
              </w:rPr>
            </w:pPr>
          </w:p>
        </w:tc>
        <w:tc>
          <w:tcPr>
            <w:tcW w:w="2720"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008D42A">
            <w:pPr>
              <w:jc w:val="center"/>
              <w:rPr>
                <w:rFonts w:hint="eastAsia" w:ascii="宋体" w:hAnsi="宋体" w:eastAsia="宋体" w:cs="宋体"/>
                <w:i w:val="0"/>
                <w:iCs w:val="0"/>
                <w:color w:val="000000"/>
                <w:sz w:val="18"/>
                <w:szCs w:val="18"/>
                <w:u w:val="none"/>
              </w:rPr>
            </w:pPr>
          </w:p>
        </w:tc>
        <w:tc>
          <w:tcPr>
            <w:tcW w:w="109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C01495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18CFE5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23CAC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60" w:type="dxa"/>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22035A">
            <w:pPr>
              <w:rPr>
                <w:rFonts w:hint="eastAsia" w:ascii="黑体" w:hAnsi="黑体" w:eastAsia="黑体" w:cs="黑体"/>
                <w:i/>
                <w:iCs/>
                <w:color w:val="000000"/>
                <w:sz w:val="18"/>
                <w:szCs w:val="18"/>
                <w:u w:val="none"/>
              </w:rPr>
            </w:pPr>
          </w:p>
        </w:tc>
      </w:tr>
      <w:tr w14:paraId="1C424A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46" w:type="dxa"/>
          <w:trHeight w:val="339" w:hRule="atLeast"/>
        </w:trPr>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8EB8D9">
            <w:pPr>
              <w:jc w:val="center"/>
              <w:rPr>
                <w:rFonts w:hint="eastAsia" w:ascii="宋体" w:hAnsi="宋体" w:eastAsia="宋体" w:cs="宋体"/>
                <w:i w:val="0"/>
                <w:iCs w:val="0"/>
                <w:color w:val="000000"/>
                <w:sz w:val="18"/>
                <w:szCs w:val="18"/>
                <w:u w:val="none"/>
              </w:rPr>
            </w:pPr>
          </w:p>
        </w:tc>
        <w:tc>
          <w:tcPr>
            <w:tcW w:w="205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1A99B2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177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8AB5592">
            <w:pPr>
              <w:jc w:val="center"/>
              <w:rPr>
                <w:rFonts w:hint="eastAsia" w:ascii="微软雅黑" w:hAnsi="微软雅黑" w:eastAsia="微软雅黑" w:cs="微软雅黑"/>
                <w:i/>
                <w:iCs/>
                <w:color w:val="000000"/>
                <w:sz w:val="16"/>
                <w:szCs w:val="16"/>
                <w:u w:val="none"/>
              </w:rPr>
            </w:pPr>
          </w:p>
        </w:tc>
        <w:tc>
          <w:tcPr>
            <w:tcW w:w="28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6148829">
            <w:pPr>
              <w:jc w:val="center"/>
              <w:rPr>
                <w:rFonts w:hint="eastAsia" w:ascii="微软雅黑" w:hAnsi="微软雅黑" w:eastAsia="微软雅黑" w:cs="微软雅黑"/>
                <w:i/>
                <w:iCs/>
                <w:color w:val="000000"/>
                <w:sz w:val="16"/>
                <w:szCs w:val="16"/>
                <w:u w:val="none"/>
              </w:rPr>
            </w:pPr>
          </w:p>
        </w:tc>
        <w:tc>
          <w:tcPr>
            <w:tcW w:w="2720"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FCAFFFD">
            <w:pPr>
              <w:jc w:val="center"/>
              <w:rPr>
                <w:rFonts w:hint="eastAsia" w:ascii="微软雅黑" w:hAnsi="微软雅黑" w:eastAsia="微软雅黑" w:cs="微软雅黑"/>
                <w:i/>
                <w:iCs/>
                <w:color w:val="000000"/>
                <w:sz w:val="16"/>
                <w:szCs w:val="16"/>
                <w:u w:val="none"/>
              </w:rPr>
            </w:pPr>
          </w:p>
        </w:tc>
        <w:tc>
          <w:tcPr>
            <w:tcW w:w="109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F5B0F7A">
            <w:pPr>
              <w:jc w:val="center"/>
              <w:rPr>
                <w:rFonts w:hint="eastAsia" w:ascii="微软雅黑" w:hAnsi="微软雅黑" w:eastAsia="微软雅黑" w:cs="微软雅黑"/>
                <w:i/>
                <w:iCs/>
                <w:color w:val="000000"/>
                <w:sz w:val="16"/>
                <w:szCs w:val="16"/>
                <w:u w:val="none"/>
              </w:rPr>
            </w:pPr>
          </w:p>
        </w:tc>
        <w:tc>
          <w:tcPr>
            <w:tcW w:w="5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E2CD16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482D1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60" w:type="dxa"/>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2465D6">
            <w:pPr>
              <w:rPr>
                <w:rFonts w:hint="eastAsia" w:ascii="黑体" w:hAnsi="黑体" w:eastAsia="黑体" w:cs="黑体"/>
                <w:i/>
                <w:iCs/>
                <w:color w:val="000000"/>
                <w:sz w:val="18"/>
                <w:szCs w:val="18"/>
                <w:u w:val="none"/>
              </w:rPr>
            </w:pPr>
          </w:p>
        </w:tc>
      </w:tr>
      <w:tr w14:paraId="3BC556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46" w:type="dxa"/>
          <w:trHeight w:val="453" w:hRule="atLeast"/>
        </w:trPr>
        <w:tc>
          <w:tcPr>
            <w:tcW w:w="8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EBD08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205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9A0E1D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177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30740C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28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304AD0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60953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168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5B6E6AF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A2A5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9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EC4A60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0F91B5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5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D92F8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60"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C043A4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17EAE8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46" w:type="dxa"/>
          <w:trHeight w:val="453" w:hRule="atLeast"/>
        </w:trPr>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D3CBA1">
            <w:pPr>
              <w:jc w:val="center"/>
              <w:rPr>
                <w:rFonts w:hint="eastAsia" w:ascii="宋体" w:hAnsi="宋体" w:eastAsia="宋体" w:cs="宋体"/>
                <w:i w:val="0"/>
                <w:iCs w:val="0"/>
                <w:color w:val="000000"/>
                <w:sz w:val="18"/>
                <w:szCs w:val="18"/>
                <w:u w:val="none"/>
              </w:rPr>
            </w:pPr>
          </w:p>
        </w:tc>
        <w:tc>
          <w:tcPr>
            <w:tcW w:w="205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FB177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产出指标</w:t>
            </w:r>
          </w:p>
        </w:tc>
        <w:tc>
          <w:tcPr>
            <w:tcW w:w="177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5DA26D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数量指标</w:t>
            </w:r>
          </w:p>
        </w:tc>
        <w:tc>
          <w:tcPr>
            <w:tcW w:w="28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9E9F07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选派第一书记人数</w:t>
            </w:r>
          </w:p>
        </w:tc>
        <w:tc>
          <w:tcPr>
            <w:tcW w:w="5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D228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68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318509C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787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w:t>
            </w:r>
          </w:p>
        </w:tc>
        <w:tc>
          <w:tcPr>
            <w:tcW w:w="1093"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BC0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269B1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45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3959D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2560"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55C576F">
            <w:pPr>
              <w:jc w:val="center"/>
              <w:rPr>
                <w:rFonts w:hint="eastAsia" w:ascii="宋体" w:hAnsi="宋体" w:eastAsia="宋体" w:cs="宋体"/>
                <w:i w:val="0"/>
                <w:iCs w:val="0"/>
                <w:color w:val="000000"/>
                <w:sz w:val="18"/>
                <w:szCs w:val="18"/>
                <w:u w:val="none"/>
              </w:rPr>
            </w:pPr>
          </w:p>
        </w:tc>
      </w:tr>
      <w:tr w14:paraId="4F068A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46" w:type="dxa"/>
          <w:trHeight w:val="540" w:hRule="atLeast"/>
        </w:trPr>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674AD7">
            <w:pPr>
              <w:jc w:val="center"/>
              <w:rPr>
                <w:rFonts w:hint="eastAsia" w:ascii="宋体" w:hAnsi="宋体" w:eastAsia="宋体" w:cs="宋体"/>
                <w:i w:val="0"/>
                <w:iCs w:val="0"/>
                <w:color w:val="000000"/>
                <w:sz w:val="18"/>
                <w:szCs w:val="18"/>
                <w:u w:val="none"/>
              </w:rPr>
            </w:pPr>
          </w:p>
        </w:tc>
        <w:tc>
          <w:tcPr>
            <w:tcW w:w="205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B786A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产出指标</w:t>
            </w:r>
          </w:p>
        </w:tc>
        <w:tc>
          <w:tcPr>
            <w:tcW w:w="177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5FEE9B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质量指标</w:t>
            </w:r>
          </w:p>
        </w:tc>
        <w:tc>
          <w:tcPr>
            <w:tcW w:w="28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D0E37D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第一书记驻村经费保障考勤率</w:t>
            </w:r>
          </w:p>
        </w:tc>
        <w:tc>
          <w:tcPr>
            <w:tcW w:w="5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95DC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68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07E852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15C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93"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FAC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5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4E02B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45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F08FB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60"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2513A1D">
            <w:pPr>
              <w:jc w:val="center"/>
              <w:rPr>
                <w:rFonts w:hint="eastAsia" w:ascii="宋体" w:hAnsi="宋体" w:eastAsia="宋体" w:cs="宋体"/>
                <w:i w:val="0"/>
                <w:iCs w:val="0"/>
                <w:color w:val="000000"/>
                <w:sz w:val="18"/>
                <w:szCs w:val="18"/>
                <w:u w:val="none"/>
              </w:rPr>
            </w:pPr>
          </w:p>
        </w:tc>
      </w:tr>
      <w:tr w14:paraId="5B5E08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46" w:type="dxa"/>
          <w:trHeight w:val="453" w:hRule="atLeast"/>
        </w:trPr>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2FE8D1">
            <w:pPr>
              <w:jc w:val="center"/>
              <w:rPr>
                <w:rFonts w:hint="eastAsia" w:ascii="宋体" w:hAnsi="宋体" w:eastAsia="宋体" w:cs="宋体"/>
                <w:i w:val="0"/>
                <w:iCs w:val="0"/>
                <w:color w:val="000000"/>
                <w:sz w:val="18"/>
                <w:szCs w:val="18"/>
                <w:u w:val="none"/>
              </w:rPr>
            </w:pPr>
          </w:p>
        </w:tc>
        <w:tc>
          <w:tcPr>
            <w:tcW w:w="205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F9010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产出指标</w:t>
            </w:r>
          </w:p>
        </w:tc>
        <w:tc>
          <w:tcPr>
            <w:tcW w:w="177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DAD507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时效指标</w:t>
            </w:r>
          </w:p>
        </w:tc>
        <w:tc>
          <w:tcPr>
            <w:tcW w:w="28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E36D40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完成时限</w:t>
            </w:r>
          </w:p>
        </w:tc>
        <w:tc>
          <w:tcPr>
            <w:tcW w:w="5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4380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68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145EED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0CA9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年</w:t>
            </w:r>
          </w:p>
        </w:tc>
        <w:tc>
          <w:tcPr>
            <w:tcW w:w="1093"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CB5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52902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45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FF3A4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2560"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37DDAFA">
            <w:pPr>
              <w:jc w:val="center"/>
              <w:rPr>
                <w:rFonts w:hint="eastAsia" w:ascii="宋体" w:hAnsi="宋体" w:eastAsia="宋体" w:cs="宋体"/>
                <w:i w:val="0"/>
                <w:iCs w:val="0"/>
                <w:color w:val="000000"/>
                <w:sz w:val="18"/>
                <w:szCs w:val="18"/>
                <w:u w:val="none"/>
              </w:rPr>
            </w:pPr>
          </w:p>
        </w:tc>
      </w:tr>
      <w:tr w14:paraId="7EB01F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46" w:type="dxa"/>
          <w:trHeight w:val="720" w:hRule="atLeast"/>
        </w:trPr>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8C398C">
            <w:pPr>
              <w:jc w:val="center"/>
              <w:rPr>
                <w:rFonts w:hint="eastAsia" w:ascii="宋体" w:hAnsi="宋体" w:eastAsia="宋体" w:cs="宋体"/>
                <w:i w:val="0"/>
                <w:iCs w:val="0"/>
                <w:color w:val="000000"/>
                <w:sz w:val="18"/>
                <w:szCs w:val="18"/>
                <w:u w:val="none"/>
              </w:rPr>
            </w:pPr>
          </w:p>
        </w:tc>
        <w:tc>
          <w:tcPr>
            <w:tcW w:w="205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87614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效益指标</w:t>
            </w:r>
          </w:p>
        </w:tc>
        <w:tc>
          <w:tcPr>
            <w:tcW w:w="177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AF8281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社会效益指标</w:t>
            </w:r>
          </w:p>
        </w:tc>
        <w:tc>
          <w:tcPr>
            <w:tcW w:w="28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A48CE6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巩固脱贫成效率100%为优，90%-95%为良，小于90%为差</w:t>
            </w:r>
          </w:p>
        </w:tc>
        <w:tc>
          <w:tcPr>
            <w:tcW w:w="5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FFE9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定性</w:t>
            </w:r>
          </w:p>
        </w:tc>
        <w:tc>
          <w:tcPr>
            <w:tcW w:w="168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7B80AB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5843D">
            <w:pPr>
              <w:jc w:val="center"/>
              <w:rPr>
                <w:rFonts w:hint="eastAsia" w:ascii="宋体" w:hAnsi="宋体" w:eastAsia="宋体" w:cs="宋体"/>
                <w:i w:val="0"/>
                <w:iCs w:val="0"/>
                <w:color w:val="000000"/>
                <w:sz w:val="22"/>
                <w:szCs w:val="22"/>
                <w:u w:val="none"/>
              </w:rPr>
            </w:pPr>
          </w:p>
        </w:tc>
        <w:tc>
          <w:tcPr>
            <w:tcW w:w="1093"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7B0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w:t>
            </w:r>
          </w:p>
        </w:tc>
        <w:tc>
          <w:tcPr>
            <w:tcW w:w="5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5631D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45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6687D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60"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A908C02">
            <w:pPr>
              <w:jc w:val="center"/>
              <w:rPr>
                <w:rFonts w:hint="eastAsia" w:ascii="宋体" w:hAnsi="宋体" w:eastAsia="宋体" w:cs="宋体"/>
                <w:i w:val="0"/>
                <w:iCs w:val="0"/>
                <w:color w:val="000000"/>
                <w:sz w:val="18"/>
                <w:szCs w:val="18"/>
                <w:u w:val="none"/>
              </w:rPr>
            </w:pPr>
          </w:p>
        </w:tc>
      </w:tr>
      <w:tr w14:paraId="7F52CF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46" w:type="dxa"/>
          <w:trHeight w:val="453" w:hRule="atLeast"/>
        </w:trPr>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0D2454">
            <w:pPr>
              <w:jc w:val="center"/>
              <w:rPr>
                <w:rFonts w:hint="eastAsia" w:ascii="宋体" w:hAnsi="宋体" w:eastAsia="宋体" w:cs="宋体"/>
                <w:i w:val="0"/>
                <w:iCs w:val="0"/>
                <w:color w:val="000000"/>
                <w:sz w:val="18"/>
                <w:szCs w:val="18"/>
                <w:u w:val="none"/>
              </w:rPr>
            </w:pPr>
          </w:p>
        </w:tc>
        <w:tc>
          <w:tcPr>
            <w:tcW w:w="205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1B66A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效益指标</w:t>
            </w:r>
          </w:p>
        </w:tc>
        <w:tc>
          <w:tcPr>
            <w:tcW w:w="177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68B7FA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可持续影响指标</w:t>
            </w:r>
          </w:p>
        </w:tc>
        <w:tc>
          <w:tcPr>
            <w:tcW w:w="28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43164B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开展脱贫攻坚工作持续性</w:t>
            </w:r>
          </w:p>
        </w:tc>
        <w:tc>
          <w:tcPr>
            <w:tcW w:w="5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0098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68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0895C9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0BF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年</w:t>
            </w:r>
          </w:p>
        </w:tc>
        <w:tc>
          <w:tcPr>
            <w:tcW w:w="1093"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E88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68934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45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CCB17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60"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C20D8B1">
            <w:pPr>
              <w:jc w:val="center"/>
              <w:rPr>
                <w:rFonts w:hint="eastAsia" w:ascii="宋体" w:hAnsi="宋体" w:eastAsia="宋体" w:cs="宋体"/>
                <w:i w:val="0"/>
                <w:iCs w:val="0"/>
                <w:color w:val="000000"/>
                <w:sz w:val="18"/>
                <w:szCs w:val="18"/>
                <w:u w:val="none"/>
              </w:rPr>
            </w:pPr>
          </w:p>
        </w:tc>
      </w:tr>
      <w:tr w14:paraId="3DA0B7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46" w:type="dxa"/>
          <w:trHeight w:val="453" w:hRule="atLeast"/>
        </w:trPr>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003D5B">
            <w:pPr>
              <w:jc w:val="center"/>
              <w:rPr>
                <w:rFonts w:hint="eastAsia" w:ascii="宋体" w:hAnsi="宋体" w:eastAsia="宋体" w:cs="宋体"/>
                <w:i w:val="0"/>
                <w:iCs w:val="0"/>
                <w:color w:val="000000"/>
                <w:sz w:val="18"/>
                <w:szCs w:val="18"/>
                <w:u w:val="none"/>
              </w:rPr>
            </w:pPr>
          </w:p>
        </w:tc>
        <w:tc>
          <w:tcPr>
            <w:tcW w:w="205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D4F61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满意度指标</w:t>
            </w:r>
          </w:p>
        </w:tc>
        <w:tc>
          <w:tcPr>
            <w:tcW w:w="177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2C9497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服务对象满意度指标</w:t>
            </w:r>
          </w:p>
        </w:tc>
        <w:tc>
          <w:tcPr>
            <w:tcW w:w="28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B2A15C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 第一书记、单位满意度</w:t>
            </w:r>
          </w:p>
        </w:tc>
        <w:tc>
          <w:tcPr>
            <w:tcW w:w="5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B711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68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7196CF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95</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99C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93"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099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95</w:t>
            </w:r>
          </w:p>
        </w:tc>
        <w:tc>
          <w:tcPr>
            <w:tcW w:w="5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E157D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45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5B7F8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60"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4F573E9">
            <w:pPr>
              <w:jc w:val="center"/>
              <w:rPr>
                <w:rFonts w:hint="eastAsia" w:ascii="宋体" w:hAnsi="宋体" w:eastAsia="宋体" w:cs="宋体"/>
                <w:i w:val="0"/>
                <w:iCs w:val="0"/>
                <w:color w:val="000000"/>
                <w:sz w:val="18"/>
                <w:szCs w:val="18"/>
                <w:u w:val="none"/>
              </w:rPr>
            </w:pPr>
          </w:p>
        </w:tc>
      </w:tr>
      <w:tr w14:paraId="3CB37C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46" w:type="dxa"/>
          <w:trHeight w:val="453" w:hRule="atLeast"/>
        </w:trPr>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04C8FD">
            <w:pPr>
              <w:jc w:val="center"/>
              <w:rPr>
                <w:rFonts w:hint="eastAsia" w:ascii="宋体" w:hAnsi="宋体" w:eastAsia="宋体" w:cs="宋体"/>
                <w:i w:val="0"/>
                <w:iCs w:val="0"/>
                <w:color w:val="000000"/>
                <w:sz w:val="18"/>
                <w:szCs w:val="18"/>
                <w:u w:val="none"/>
              </w:rPr>
            </w:pPr>
          </w:p>
        </w:tc>
        <w:tc>
          <w:tcPr>
            <w:tcW w:w="205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EB479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成本指标</w:t>
            </w:r>
          </w:p>
        </w:tc>
        <w:tc>
          <w:tcPr>
            <w:tcW w:w="177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BDE9C0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经济成本指标</w:t>
            </w:r>
          </w:p>
        </w:tc>
        <w:tc>
          <w:tcPr>
            <w:tcW w:w="28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D71661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经费保障支出</w:t>
            </w:r>
          </w:p>
        </w:tc>
        <w:tc>
          <w:tcPr>
            <w:tcW w:w="5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851D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68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6CDD40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3.75</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07B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万元/每项目</w:t>
            </w:r>
          </w:p>
        </w:tc>
        <w:tc>
          <w:tcPr>
            <w:tcW w:w="1093"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7B8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3.75</w:t>
            </w:r>
          </w:p>
        </w:tc>
        <w:tc>
          <w:tcPr>
            <w:tcW w:w="5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E185F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45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E92E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60"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3496F5A">
            <w:pPr>
              <w:jc w:val="center"/>
              <w:rPr>
                <w:rFonts w:hint="eastAsia" w:ascii="宋体" w:hAnsi="宋体" w:eastAsia="宋体" w:cs="宋体"/>
                <w:i w:val="0"/>
                <w:iCs w:val="0"/>
                <w:color w:val="000000"/>
                <w:sz w:val="18"/>
                <w:szCs w:val="18"/>
                <w:u w:val="none"/>
              </w:rPr>
            </w:pPr>
          </w:p>
        </w:tc>
      </w:tr>
      <w:tr w14:paraId="139846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46" w:type="dxa"/>
          <w:trHeight w:val="285" w:hRule="atLeast"/>
        </w:trPr>
        <w:tc>
          <w:tcPr>
            <w:tcW w:w="11375" w:type="dxa"/>
            <w:gridSpan w:val="28"/>
            <w:tcBorders>
              <w:top w:val="single" w:color="000000" w:sz="4" w:space="0"/>
              <w:left w:val="single" w:color="000000" w:sz="4" w:space="0"/>
              <w:bottom w:val="single" w:color="000000" w:sz="4" w:space="0"/>
              <w:right w:val="single" w:color="000000" w:sz="4" w:space="0"/>
            </w:tcBorders>
            <w:shd w:val="clear" w:color="auto" w:fill="auto"/>
            <w:vAlign w:val="center"/>
          </w:tcPr>
          <w:p w14:paraId="382E3B9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14776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5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4C2990">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560"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61A95E1">
            <w:pPr>
              <w:rPr>
                <w:rFonts w:hint="eastAsia" w:ascii="宋体" w:hAnsi="宋体" w:eastAsia="宋体" w:cs="宋体"/>
                <w:i w:val="0"/>
                <w:iCs w:val="0"/>
                <w:color w:val="000000"/>
                <w:sz w:val="18"/>
                <w:szCs w:val="18"/>
                <w:u w:val="none"/>
              </w:rPr>
            </w:pPr>
          </w:p>
        </w:tc>
      </w:tr>
      <w:tr w14:paraId="08097E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46" w:type="dxa"/>
          <w:trHeight w:val="603" w:hRule="atLeast"/>
        </w:trPr>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2D6A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14040" w:type="dxa"/>
            <w:gridSpan w:val="40"/>
            <w:tcBorders>
              <w:top w:val="single" w:color="000000" w:sz="4" w:space="0"/>
              <w:left w:val="single" w:color="000000" w:sz="4" w:space="0"/>
              <w:bottom w:val="single" w:color="000000" w:sz="4" w:space="0"/>
              <w:right w:val="single" w:color="000000" w:sz="4" w:space="0"/>
            </w:tcBorders>
            <w:shd w:val="clear" w:color="auto" w:fill="auto"/>
            <w:vAlign w:val="center"/>
          </w:tcPr>
          <w:p w14:paraId="74331BAB">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提升了村党组织战斗力，创新“党建+网格化治理”模式。助力集体经济收入增长。基层村民矛盾纠纷化解率增加，无重大 治安案件。</w:t>
            </w:r>
          </w:p>
        </w:tc>
      </w:tr>
      <w:tr w14:paraId="6A93CF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46" w:type="dxa"/>
          <w:trHeight w:val="573" w:hRule="atLeast"/>
        </w:trPr>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AF24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14040" w:type="dxa"/>
            <w:gridSpan w:val="40"/>
            <w:tcBorders>
              <w:top w:val="single" w:color="000000" w:sz="4" w:space="0"/>
              <w:left w:val="single" w:color="000000" w:sz="4" w:space="0"/>
              <w:bottom w:val="single" w:color="000000" w:sz="4" w:space="0"/>
              <w:right w:val="single" w:color="000000" w:sz="4" w:space="0"/>
            </w:tcBorders>
            <w:shd w:val="clear" w:color="auto" w:fill="auto"/>
            <w:vAlign w:val="center"/>
          </w:tcPr>
          <w:p w14:paraId="3797F9CF">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村产业可持续性较弱，需加弱技能培训和市场对接。</w:t>
            </w:r>
          </w:p>
        </w:tc>
      </w:tr>
      <w:tr w14:paraId="7A4A42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46" w:type="dxa"/>
          <w:trHeight w:val="633" w:hRule="atLeast"/>
        </w:trPr>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D901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14040" w:type="dxa"/>
            <w:gridSpan w:val="40"/>
            <w:tcBorders>
              <w:top w:val="single" w:color="000000" w:sz="4" w:space="0"/>
              <w:left w:val="single" w:color="000000" w:sz="4" w:space="0"/>
              <w:bottom w:val="single" w:color="000000" w:sz="4" w:space="0"/>
              <w:right w:val="single" w:color="000000" w:sz="4" w:space="0"/>
            </w:tcBorders>
            <w:shd w:val="clear" w:color="auto" w:fill="auto"/>
            <w:vAlign w:val="center"/>
          </w:tcPr>
          <w:p w14:paraId="0BC47829">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推动“联村共建”，融合区域资源；建立驻村工作“回头看”长效机制。</w:t>
            </w:r>
          </w:p>
        </w:tc>
      </w:tr>
      <w:tr w14:paraId="41F6F7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46" w:type="dxa"/>
          <w:trHeight w:val="285" w:hRule="atLeast"/>
        </w:trPr>
        <w:tc>
          <w:tcPr>
            <w:tcW w:w="8082" w:type="dxa"/>
            <w:gridSpan w:val="16"/>
            <w:tcBorders>
              <w:top w:val="single" w:color="000000" w:sz="4" w:space="0"/>
              <w:left w:val="single" w:color="000000" w:sz="4" w:space="0"/>
              <w:bottom w:val="single" w:color="000000" w:sz="4" w:space="0"/>
              <w:right w:val="single" w:color="000000" w:sz="4" w:space="0"/>
            </w:tcBorders>
            <w:shd w:val="clear" w:color="auto" w:fill="auto"/>
            <w:vAlign w:val="center"/>
          </w:tcPr>
          <w:p w14:paraId="7FAFFAD1">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项目负责人：王姜燕</w:t>
            </w:r>
          </w:p>
        </w:tc>
        <w:tc>
          <w:tcPr>
            <w:tcW w:w="6813" w:type="dxa"/>
            <w:gridSpan w:val="25"/>
            <w:tcBorders>
              <w:top w:val="single" w:color="000000" w:sz="4" w:space="0"/>
              <w:left w:val="single" w:color="000000" w:sz="4" w:space="0"/>
              <w:bottom w:val="single" w:color="000000" w:sz="4" w:space="0"/>
              <w:right w:val="single" w:color="000000" w:sz="4" w:space="0"/>
            </w:tcBorders>
            <w:shd w:val="clear" w:color="auto" w:fill="auto"/>
            <w:vAlign w:val="center"/>
          </w:tcPr>
          <w:p w14:paraId="141A35B1">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财务负责人：王良洪</w:t>
            </w:r>
          </w:p>
        </w:tc>
      </w:tr>
      <w:tr w14:paraId="554EAC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588" w:type="dxa"/>
            <w:gridSpan w:val="15"/>
            <w:tcBorders>
              <w:top w:val="nil"/>
              <w:left w:val="nil"/>
              <w:bottom w:val="nil"/>
              <w:right w:val="nil"/>
            </w:tcBorders>
            <w:shd w:val="clear" w:color="auto" w:fill="auto"/>
            <w:vAlign w:val="center"/>
          </w:tcPr>
          <w:p w14:paraId="77AE4636">
            <w:pPr>
              <w:keepNext w:val="0"/>
              <w:keepLines w:val="0"/>
              <w:widowControl/>
              <w:suppressLineNumbers w:val="0"/>
              <w:jc w:val="left"/>
              <w:textAlignment w:val="center"/>
              <w:rPr>
                <w:rFonts w:ascii="宋体" w:hAnsi="宋体" w:eastAsia="宋体" w:cs="宋体"/>
                <w:i w:val="0"/>
                <w:iCs w:val="0"/>
                <w:color w:val="C0C0C0"/>
                <w:sz w:val="20"/>
                <w:szCs w:val="20"/>
                <w:u w:val="none"/>
              </w:rPr>
            </w:pPr>
            <w:r>
              <w:rPr>
                <w:rFonts w:ascii="宋体" w:hAnsi="宋体" w:eastAsia="宋体" w:cs="宋体"/>
                <w:i w:val="0"/>
                <w:iCs w:val="0"/>
                <w:color w:val="C0C0C0"/>
                <w:kern w:val="0"/>
                <w:sz w:val="20"/>
                <w:szCs w:val="20"/>
                <w:u w:val="none"/>
                <w:lang w:val="en-US" w:eastAsia="zh-CN" w:bidi="ar"/>
              </w:rPr>
              <w:t>报表编号：510000_0013zp</w:t>
            </w:r>
          </w:p>
        </w:tc>
        <w:tc>
          <w:tcPr>
            <w:tcW w:w="1079" w:type="dxa"/>
            <w:gridSpan w:val="4"/>
            <w:tcBorders>
              <w:top w:val="nil"/>
              <w:left w:val="nil"/>
              <w:bottom w:val="nil"/>
              <w:right w:val="nil"/>
            </w:tcBorders>
            <w:shd w:val="clear" w:color="auto" w:fill="auto"/>
            <w:noWrap/>
            <w:vAlign w:val="center"/>
          </w:tcPr>
          <w:p w14:paraId="7547EA63">
            <w:pPr>
              <w:rPr>
                <w:rFonts w:hint="eastAsia" w:ascii="宋体" w:hAnsi="宋体" w:eastAsia="宋体" w:cs="宋体"/>
                <w:i w:val="0"/>
                <w:iCs w:val="0"/>
                <w:color w:val="000000"/>
                <w:sz w:val="22"/>
                <w:szCs w:val="22"/>
                <w:u w:val="none"/>
              </w:rPr>
            </w:pPr>
          </w:p>
        </w:tc>
        <w:tc>
          <w:tcPr>
            <w:tcW w:w="3237" w:type="dxa"/>
            <w:gridSpan w:val="13"/>
            <w:tcBorders>
              <w:top w:val="nil"/>
              <w:left w:val="nil"/>
              <w:bottom w:val="nil"/>
              <w:right w:val="nil"/>
            </w:tcBorders>
            <w:shd w:val="clear" w:color="auto" w:fill="auto"/>
            <w:vAlign w:val="center"/>
          </w:tcPr>
          <w:p w14:paraId="3D300E63">
            <w:pPr>
              <w:rPr>
                <w:rFonts w:hint="eastAsia" w:ascii="宋体" w:hAnsi="宋体" w:eastAsia="宋体" w:cs="宋体"/>
                <w:i w:val="0"/>
                <w:iCs w:val="0"/>
                <w:color w:val="000000"/>
                <w:sz w:val="20"/>
                <w:szCs w:val="20"/>
                <w:u w:val="none"/>
              </w:rPr>
            </w:pPr>
          </w:p>
        </w:tc>
        <w:tc>
          <w:tcPr>
            <w:tcW w:w="1079" w:type="dxa"/>
            <w:gridSpan w:val="4"/>
            <w:tcBorders>
              <w:top w:val="nil"/>
              <w:left w:val="nil"/>
              <w:bottom w:val="nil"/>
              <w:right w:val="nil"/>
            </w:tcBorders>
            <w:shd w:val="clear" w:color="auto" w:fill="auto"/>
            <w:noWrap/>
            <w:vAlign w:val="center"/>
          </w:tcPr>
          <w:p w14:paraId="19CD4D10">
            <w:pPr>
              <w:rPr>
                <w:rFonts w:hint="eastAsia" w:ascii="宋体" w:hAnsi="宋体" w:eastAsia="宋体" w:cs="宋体"/>
                <w:i w:val="0"/>
                <w:iCs w:val="0"/>
                <w:color w:val="000000"/>
                <w:sz w:val="22"/>
                <w:szCs w:val="22"/>
                <w:u w:val="none"/>
              </w:rPr>
            </w:pPr>
          </w:p>
        </w:tc>
        <w:tc>
          <w:tcPr>
            <w:tcW w:w="1079" w:type="dxa"/>
            <w:gridSpan w:val="3"/>
            <w:tcBorders>
              <w:top w:val="nil"/>
              <w:left w:val="nil"/>
              <w:bottom w:val="nil"/>
              <w:right w:val="nil"/>
            </w:tcBorders>
            <w:shd w:val="clear" w:color="auto" w:fill="auto"/>
            <w:noWrap/>
            <w:vAlign w:val="center"/>
          </w:tcPr>
          <w:p w14:paraId="76C02258">
            <w:pPr>
              <w:rPr>
                <w:rFonts w:hint="eastAsia" w:ascii="宋体" w:hAnsi="宋体" w:eastAsia="宋体" w:cs="宋体"/>
                <w:i w:val="0"/>
                <w:iCs w:val="0"/>
                <w:color w:val="000000"/>
                <w:sz w:val="22"/>
                <w:szCs w:val="22"/>
                <w:u w:val="none"/>
              </w:rPr>
            </w:pPr>
          </w:p>
        </w:tc>
        <w:tc>
          <w:tcPr>
            <w:tcW w:w="1079" w:type="dxa"/>
            <w:gridSpan w:val="3"/>
            <w:tcBorders>
              <w:top w:val="nil"/>
              <w:left w:val="nil"/>
              <w:bottom w:val="nil"/>
              <w:right w:val="nil"/>
            </w:tcBorders>
            <w:shd w:val="clear" w:color="auto" w:fill="auto"/>
            <w:noWrap/>
            <w:vAlign w:val="center"/>
          </w:tcPr>
          <w:p w14:paraId="327F8E73">
            <w:pPr>
              <w:rPr>
                <w:rFonts w:hint="eastAsia" w:ascii="宋体" w:hAnsi="宋体" w:eastAsia="宋体" w:cs="宋体"/>
                <w:i w:val="0"/>
                <w:iCs w:val="0"/>
                <w:color w:val="000000"/>
                <w:sz w:val="22"/>
                <w:szCs w:val="22"/>
                <w:u w:val="none"/>
              </w:rPr>
            </w:pPr>
          </w:p>
        </w:tc>
      </w:tr>
      <w:tr w14:paraId="637FF4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trPr>
        <w:tc>
          <w:tcPr>
            <w:tcW w:w="15141" w:type="dxa"/>
            <w:gridSpan w:val="42"/>
            <w:tcBorders>
              <w:top w:val="single" w:color="000000" w:sz="4" w:space="0"/>
              <w:left w:val="single" w:color="000000" w:sz="4" w:space="0"/>
              <w:bottom w:val="single" w:color="000000" w:sz="4" w:space="0"/>
              <w:right w:val="single" w:color="000000" w:sz="4" w:space="0"/>
            </w:tcBorders>
            <w:shd w:val="clear" w:color="auto" w:fill="auto"/>
            <w:vAlign w:val="center"/>
          </w:tcPr>
          <w:p w14:paraId="7EF4AB25">
            <w:pPr>
              <w:keepNext w:val="0"/>
              <w:keepLines w:val="0"/>
              <w:widowControl/>
              <w:suppressLineNumbers w:val="0"/>
              <w:jc w:val="center"/>
              <w:textAlignment w:val="center"/>
              <w:rPr>
                <w:rFonts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30F0DA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15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728702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12983" w:type="dxa"/>
            <w:gridSpan w:val="39"/>
            <w:tcBorders>
              <w:top w:val="single" w:color="000000" w:sz="4" w:space="0"/>
              <w:left w:val="single" w:color="000000" w:sz="4" w:space="0"/>
              <w:bottom w:val="single" w:color="000000" w:sz="4" w:space="0"/>
              <w:right w:val="single" w:color="000000" w:sz="4" w:space="0"/>
            </w:tcBorders>
            <w:shd w:val="clear" w:color="auto" w:fill="auto"/>
            <w:vAlign w:val="center"/>
          </w:tcPr>
          <w:p w14:paraId="447FEB6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法学会</w:t>
            </w:r>
          </w:p>
        </w:tc>
      </w:tr>
      <w:tr w14:paraId="75C00D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15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ECEC0C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8667" w:type="dxa"/>
            <w:gridSpan w:val="24"/>
            <w:tcBorders>
              <w:top w:val="single" w:color="000000" w:sz="4" w:space="0"/>
              <w:left w:val="single" w:color="000000" w:sz="4" w:space="0"/>
              <w:bottom w:val="single" w:color="000000" w:sz="4" w:space="0"/>
              <w:right w:val="single" w:color="000000" w:sz="4" w:space="0"/>
            </w:tcBorders>
            <w:shd w:val="clear" w:color="auto" w:fill="auto"/>
            <w:vAlign w:val="center"/>
          </w:tcPr>
          <w:p w14:paraId="77EABA8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省法学会</w:t>
            </w:r>
          </w:p>
        </w:tc>
        <w:tc>
          <w:tcPr>
            <w:tcW w:w="1079" w:type="dxa"/>
            <w:gridSpan w:val="5"/>
            <w:tcBorders>
              <w:top w:val="nil"/>
              <w:left w:val="nil"/>
              <w:bottom w:val="nil"/>
              <w:right w:val="nil"/>
            </w:tcBorders>
            <w:shd w:val="clear" w:color="auto" w:fill="auto"/>
            <w:vAlign w:val="center"/>
          </w:tcPr>
          <w:p w14:paraId="0DA96BB4">
            <w:pPr>
              <w:keepNext w:val="0"/>
              <w:keepLines w:val="0"/>
              <w:widowControl/>
              <w:suppressLineNumbers w:val="0"/>
              <w:jc w:val="left"/>
              <w:textAlignment w:val="center"/>
              <w:rPr>
                <w:rFonts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237"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86CF24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中共泸州市委政法委员会</w:t>
            </w:r>
          </w:p>
        </w:tc>
      </w:tr>
      <w:tr w14:paraId="533BE7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79"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6F3CF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10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0EB8D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8667" w:type="dxa"/>
            <w:gridSpan w:val="24"/>
            <w:tcBorders>
              <w:top w:val="single" w:color="000000" w:sz="4" w:space="0"/>
              <w:left w:val="single" w:color="000000" w:sz="4" w:space="0"/>
              <w:bottom w:val="single" w:color="000000" w:sz="4" w:space="0"/>
              <w:right w:val="single" w:color="000000" w:sz="4" w:space="0"/>
            </w:tcBorders>
            <w:shd w:val="clear" w:color="auto" w:fill="auto"/>
            <w:vAlign w:val="center"/>
          </w:tcPr>
          <w:p w14:paraId="2778749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316"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0064FF56">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2F235F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07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87267C">
            <w:pPr>
              <w:rPr>
                <w:rFonts w:hint="eastAsia" w:ascii="宋体" w:hAnsi="宋体" w:eastAsia="宋体" w:cs="宋体"/>
                <w:i w:val="0"/>
                <w:iCs w:val="0"/>
                <w:color w:val="000000"/>
                <w:sz w:val="18"/>
                <w:szCs w:val="18"/>
                <w:u w:val="none"/>
              </w:rPr>
            </w:pPr>
          </w:p>
        </w:tc>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1FB647">
            <w:pPr>
              <w:rPr>
                <w:rFonts w:hint="eastAsia" w:ascii="宋体" w:hAnsi="宋体" w:eastAsia="宋体" w:cs="宋体"/>
                <w:i w:val="0"/>
                <w:iCs w:val="0"/>
                <w:color w:val="000000"/>
                <w:sz w:val="18"/>
                <w:szCs w:val="18"/>
                <w:u w:val="none"/>
              </w:rPr>
            </w:pPr>
          </w:p>
        </w:tc>
        <w:tc>
          <w:tcPr>
            <w:tcW w:w="8667" w:type="dxa"/>
            <w:gridSpan w:val="24"/>
            <w:tcBorders>
              <w:top w:val="single" w:color="000000" w:sz="4" w:space="0"/>
              <w:left w:val="single" w:color="000000" w:sz="4" w:space="0"/>
              <w:bottom w:val="single" w:color="000000" w:sz="4" w:space="0"/>
              <w:right w:val="single" w:color="000000" w:sz="4" w:space="0"/>
            </w:tcBorders>
            <w:shd w:val="clear" w:color="auto" w:fill="auto"/>
            <w:vAlign w:val="center"/>
          </w:tcPr>
          <w:p w14:paraId="66CB5C3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市级学课题专项经费，新增省法学会白酒产业法治研究会年会费用、研究课题经费、宣传、活动等费用。</w:t>
            </w:r>
          </w:p>
        </w:tc>
        <w:tc>
          <w:tcPr>
            <w:tcW w:w="4316"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2C6A8727">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2024年开展课研究13个。举办省法学会白酒产业法治研究会年会一次。</w:t>
            </w:r>
          </w:p>
        </w:tc>
      </w:tr>
      <w:tr w14:paraId="4852F2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07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221D54">
            <w:pPr>
              <w:rPr>
                <w:rFonts w:hint="eastAsia" w:ascii="宋体" w:hAnsi="宋体" w:eastAsia="宋体" w:cs="宋体"/>
                <w:i w:val="0"/>
                <w:iCs w:val="0"/>
                <w:color w:val="000000"/>
                <w:sz w:val="18"/>
                <w:szCs w:val="18"/>
                <w:u w:val="none"/>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B69E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12983" w:type="dxa"/>
            <w:gridSpan w:val="39"/>
            <w:tcBorders>
              <w:top w:val="single" w:color="000000" w:sz="4" w:space="0"/>
              <w:left w:val="single" w:color="000000" w:sz="4" w:space="0"/>
              <w:bottom w:val="single" w:color="000000" w:sz="4" w:space="0"/>
              <w:right w:val="single" w:color="000000" w:sz="4" w:space="0"/>
            </w:tcBorders>
            <w:shd w:val="clear" w:color="auto" w:fill="auto"/>
            <w:vAlign w:val="center"/>
          </w:tcPr>
          <w:p w14:paraId="4D02095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进行法学研究与课题攻关，法治宣传与普法活动，研究过程中进行学术交流与人才培养。为当地企业发展提供法律维权。</w:t>
            </w:r>
          </w:p>
        </w:tc>
      </w:tr>
      <w:tr w14:paraId="4E66BF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79"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D73E9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2AE5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124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07418C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418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B4C965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3237"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4AB390C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CF8EFB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107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7E124F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065113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A2C1FF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7F6D7D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7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FCDDAB">
            <w:pPr>
              <w:jc w:val="center"/>
              <w:rPr>
                <w:rFonts w:hint="eastAsia" w:ascii="宋体" w:hAnsi="宋体" w:eastAsia="宋体" w:cs="宋体"/>
                <w:i w:val="0"/>
                <w:iCs w:val="0"/>
                <w:color w:val="000000"/>
                <w:sz w:val="18"/>
                <w:szCs w:val="18"/>
                <w:u w:val="none"/>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D7D2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124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76C19C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34.00</w:t>
            </w:r>
          </w:p>
        </w:tc>
        <w:tc>
          <w:tcPr>
            <w:tcW w:w="418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06C27F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34.00</w:t>
            </w:r>
          </w:p>
        </w:tc>
        <w:tc>
          <w:tcPr>
            <w:tcW w:w="3237"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5091F21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34.00</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B3A1E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107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AC7DF8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355CF67">
            <w:pPr>
              <w:jc w:val="center"/>
              <w:rPr>
                <w:rFonts w:hint="eastAsia" w:ascii="宋体" w:hAnsi="宋体" w:eastAsia="宋体" w:cs="宋体"/>
                <w:i w:val="0"/>
                <w:iCs w:val="0"/>
                <w:color w:val="000000"/>
                <w:sz w:val="18"/>
                <w:szCs w:val="18"/>
                <w:u w:val="none"/>
              </w:rPr>
            </w:pPr>
          </w:p>
        </w:tc>
        <w:tc>
          <w:tcPr>
            <w:tcW w:w="1079"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3ECF19">
            <w:pPr>
              <w:rPr>
                <w:rFonts w:hint="eastAsia" w:ascii="黑体" w:hAnsi="黑体" w:eastAsia="黑体" w:cs="黑体"/>
                <w:i/>
                <w:iCs/>
                <w:color w:val="000000"/>
                <w:sz w:val="18"/>
                <w:szCs w:val="18"/>
                <w:u w:val="none"/>
              </w:rPr>
            </w:pPr>
          </w:p>
        </w:tc>
      </w:tr>
      <w:tr w14:paraId="1AA12A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7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188139">
            <w:pPr>
              <w:jc w:val="center"/>
              <w:rPr>
                <w:rFonts w:hint="eastAsia" w:ascii="宋体" w:hAnsi="宋体" w:eastAsia="宋体" w:cs="宋体"/>
                <w:i w:val="0"/>
                <w:iCs w:val="0"/>
                <w:color w:val="000000"/>
                <w:sz w:val="18"/>
                <w:szCs w:val="18"/>
                <w:u w:val="none"/>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8F2E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124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7B897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34.00</w:t>
            </w:r>
          </w:p>
        </w:tc>
        <w:tc>
          <w:tcPr>
            <w:tcW w:w="418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A31038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34.00</w:t>
            </w:r>
          </w:p>
        </w:tc>
        <w:tc>
          <w:tcPr>
            <w:tcW w:w="3237"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40A5C05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34.00</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46FCDD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107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533150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F16624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7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2650F6">
            <w:pPr>
              <w:rPr>
                <w:rFonts w:hint="eastAsia" w:ascii="黑体" w:hAnsi="黑体" w:eastAsia="黑体" w:cs="黑体"/>
                <w:i/>
                <w:iCs/>
                <w:color w:val="000000"/>
                <w:sz w:val="18"/>
                <w:szCs w:val="18"/>
                <w:u w:val="none"/>
              </w:rPr>
            </w:pPr>
          </w:p>
        </w:tc>
      </w:tr>
      <w:tr w14:paraId="043C9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7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B7DCFA">
            <w:pPr>
              <w:jc w:val="center"/>
              <w:rPr>
                <w:rFonts w:hint="eastAsia" w:ascii="宋体" w:hAnsi="宋体" w:eastAsia="宋体" w:cs="宋体"/>
                <w:i w:val="0"/>
                <w:iCs w:val="0"/>
                <w:color w:val="000000"/>
                <w:sz w:val="18"/>
                <w:szCs w:val="18"/>
                <w:u w:val="none"/>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6333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124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36D4E3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18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6FFA16D">
            <w:pPr>
              <w:jc w:val="center"/>
              <w:rPr>
                <w:rFonts w:hint="eastAsia" w:ascii="宋体" w:hAnsi="宋体" w:eastAsia="宋体" w:cs="宋体"/>
                <w:i w:val="0"/>
                <w:iCs w:val="0"/>
                <w:color w:val="000000"/>
                <w:sz w:val="18"/>
                <w:szCs w:val="18"/>
                <w:u w:val="none"/>
              </w:rPr>
            </w:pPr>
          </w:p>
        </w:tc>
        <w:tc>
          <w:tcPr>
            <w:tcW w:w="3237"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71910A19">
            <w:pPr>
              <w:jc w:val="center"/>
              <w:rPr>
                <w:rFonts w:hint="eastAsia" w:ascii="宋体" w:hAnsi="宋体" w:eastAsia="宋体" w:cs="宋体"/>
                <w:i w:val="0"/>
                <w:iCs w:val="0"/>
                <w:color w:val="000000"/>
                <w:sz w:val="18"/>
                <w:szCs w:val="18"/>
                <w:u w:val="none"/>
              </w:rPr>
            </w:pP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D0840D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7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57F746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ABCB7B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7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CC900D">
            <w:pPr>
              <w:rPr>
                <w:rFonts w:hint="eastAsia" w:ascii="黑体" w:hAnsi="黑体" w:eastAsia="黑体" w:cs="黑体"/>
                <w:i/>
                <w:iCs/>
                <w:color w:val="000000"/>
                <w:sz w:val="18"/>
                <w:szCs w:val="18"/>
                <w:u w:val="none"/>
              </w:rPr>
            </w:pPr>
          </w:p>
        </w:tc>
      </w:tr>
      <w:tr w14:paraId="4C9ECF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7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9A8956">
            <w:pPr>
              <w:jc w:val="center"/>
              <w:rPr>
                <w:rFonts w:hint="eastAsia" w:ascii="宋体" w:hAnsi="宋体" w:eastAsia="宋体" w:cs="宋体"/>
                <w:i w:val="0"/>
                <w:iCs w:val="0"/>
                <w:color w:val="000000"/>
                <w:sz w:val="18"/>
                <w:szCs w:val="18"/>
                <w:u w:val="none"/>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77CE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124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0518B3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18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46DD850">
            <w:pPr>
              <w:jc w:val="center"/>
              <w:rPr>
                <w:rFonts w:hint="eastAsia" w:ascii="宋体" w:hAnsi="宋体" w:eastAsia="宋体" w:cs="宋体"/>
                <w:i w:val="0"/>
                <w:iCs w:val="0"/>
                <w:color w:val="000000"/>
                <w:sz w:val="18"/>
                <w:szCs w:val="18"/>
                <w:u w:val="none"/>
              </w:rPr>
            </w:pPr>
          </w:p>
        </w:tc>
        <w:tc>
          <w:tcPr>
            <w:tcW w:w="3237"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5735267B">
            <w:pPr>
              <w:jc w:val="center"/>
              <w:rPr>
                <w:rFonts w:hint="eastAsia" w:ascii="宋体" w:hAnsi="宋体" w:eastAsia="宋体" w:cs="宋体"/>
                <w:i w:val="0"/>
                <w:iCs w:val="0"/>
                <w:color w:val="000000"/>
                <w:sz w:val="18"/>
                <w:szCs w:val="18"/>
                <w:u w:val="none"/>
              </w:rPr>
            </w:pP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D37BEB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7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09D461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7FD6FD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7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69D06C">
            <w:pPr>
              <w:rPr>
                <w:rFonts w:hint="eastAsia" w:ascii="黑体" w:hAnsi="黑体" w:eastAsia="黑体" w:cs="黑体"/>
                <w:i/>
                <w:iCs/>
                <w:color w:val="000000"/>
                <w:sz w:val="18"/>
                <w:szCs w:val="18"/>
                <w:u w:val="none"/>
              </w:rPr>
            </w:pPr>
          </w:p>
        </w:tc>
      </w:tr>
      <w:tr w14:paraId="5120EA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7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06B379">
            <w:pPr>
              <w:jc w:val="center"/>
              <w:rPr>
                <w:rFonts w:hint="eastAsia" w:ascii="宋体" w:hAnsi="宋体" w:eastAsia="宋体" w:cs="宋体"/>
                <w:i w:val="0"/>
                <w:iCs w:val="0"/>
                <w:color w:val="000000"/>
                <w:sz w:val="18"/>
                <w:szCs w:val="18"/>
                <w:u w:val="none"/>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9A93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124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F2FBB43">
            <w:pPr>
              <w:jc w:val="center"/>
              <w:rPr>
                <w:rFonts w:hint="eastAsia" w:ascii="微软雅黑" w:hAnsi="微软雅黑" w:eastAsia="微软雅黑" w:cs="微软雅黑"/>
                <w:i/>
                <w:iCs/>
                <w:color w:val="000000"/>
                <w:sz w:val="16"/>
                <w:szCs w:val="16"/>
                <w:u w:val="none"/>
              </w:rPr>
            </w:pPr>
          </w:p>
        </w:tc>
        <w:tc>
          <w:tcPr>
            <w:tcW w:w="418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137AB7C">
            <w:pPr>
              <w:jc w:val="center"/>
              <w:rPr>
                <w:rFonts w:hint="eastAsia" w:ascii="微软雅黑" w:hAnsi="微软雅黑" w:eastAsia="微软雅黑" w:cs="微软雅黑"/>
                <w:i/>
                <w:iCs/>
                <w:color w:val="000000"/>
                <w:sz w:val="16"/>
                <w:szCs w:val="16"/>
                <w:u w:val="none"/>
              </w:rPr>
            </w:pPr>
          </w:p>
        </w:tc>
        <w:tc>
          <w:tcPr>
            <w:tcW w:w="3237"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723904A8">
            <w:pPr>
              <w:jc w:val="center"/>
              <w:rPr>
                <w:rFonts w:hint="eastAsia" w:ascii="微软雅黑" w:hAnsi="微软雅黑" w:eastAsia="微软雅黑" w:cs="微软雅黑"/>
                <w:i/>
                <w:iCs/>
                <w:color w:val="000000"/>
                <w:sz w:val="16"/>
                <w:szCs w:val="16"/>
                <w:u w:val="none"/>
              </w:rPr>
            </w:pP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217E469">
            <w:pPr>
              <w:jc w:val="center"/>
              <w:rPr>
                <w:rFonts w:hint="eastAsia" w:ascii="微软雅黑" w:hAnsi="微软雅黑" w:eastAsia="微软雅黑" w:cs="微软雅黑"/>
                <w:i/>
                <w:iCs/>
                <w:color w:val="000000"/>
                <w:sz w:val="16"/>
                <w:szCs w:val="16"/>
                <w:u w:val="none"/>
              </w:rPr>
            </w:pPr>
          </w:p>
        </w:tc>
        <w:tc>
          <w:tcPr>
            <w:tcW w:w="107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05551E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3E9AE6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7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F5126B">
            <w:pPr>
              <w:rPr>
                <w:rFonts w:hint="eastAsia" w:ascii="黑体" w:hAnsi="黑体" w:eastAsia="黑体" w:cs="黑体"/>
                <w:i/>
                <w:iCs/>
                <w:color w:val="000000"/>
                <w:sz w:val="18"/>
                <w:szCs w:val="18"/>
                <w:u w:val="none"/>
              </w:rPr>
            </w:pPr>
          </w:p>
        </w:tc>
      </w:tr>
      <w:tr w14:paraId="2A97F7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79"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54B94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9A2E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124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1DE99F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418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276C17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107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A8572D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631F0D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465A19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6B588B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107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33962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1DA6B5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76DED3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50E5B8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7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F0D908">
            <w:pPr>
              <w:jc w:val="center"/>
              <w:rPr>
                <w:rFonts w:hint="eastAsia" w:ascii="宋体" w:hAnsi="宋体" w:eastAsia="宋体" w:cs="宋体"/>
                <w:i w:val="0"/>
                <w:iCs w:val="0"/>
                <w:color w:val="000000"/>
                <w:sz w:val="18"/>
                <w:szCs w:val="18"/>
                <w:u w:val="none"/>
              </w:rPr>
            </w:pPr>
          </w:p>
        </w:tc>
        <w:tc>
          <w:tcPr>
            <w:tcW w:w="1079" w:type="dxa"/>
            <w:tcBorders>
              <w:top w:val="single" w:color="000000" w:sz="4" w:space="0"/>
              <w:left w:val="nil"/>
              <w:bottom w:val="single" w:color="000000" w:sz="4" w:space="0"/>
              <w:right w:val="single" w:color="000000" w:sz="4" w:space="0"/>
            </w:tcBorders>
            <w:shd w:val="clear" w:color="auto" w:fill="auto"/>
            <w:vAlign w:val="center"/>
          </w:tcPr>
          <w:p w14:paraId="1C9B6DC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24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1D2AC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数量指标</w:t>
            </w:r>
          </w:p>
        </w:tc>
        <w:tc>
          <w:tcPr>
            <w:tcW w:w="418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4E472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开展市级法学课题</w:t>
            </w:r>
          </w:p>
        </w:tc>
        <w:tc>
          <w:tcPr>
            <w:tcW w:w="107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571D4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866C1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68C64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ECC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107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30375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33D3D7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AAB2776">
            <w:pPr>
              <w:jc w:val="center"/>
              <w:rPr>
                <w:rFonts w:hint="eastAsia" w:ascii="宋体" w:hAnsi="宋体" w:eastAsia="宋体" w:cs="宋体"/>
                <w:i w:val="0"/>
                <w:iCs w:val="0"/>
                <w:color w:val="000000"/>
                <w:sz w:val="18"/>
                <w:szCs w:val="18"/>
                <w:u w:val="none"/>
              </w:rPr>
            </w:pPr>
          </w:p>
        </w:tc>
      </w:tr>
      <w:tr w14:paraId="28BC0A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7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129FB5">
            <w:pPr>
              <w:jc w:val="center"/>
              <w:rPr>
                <w:rFonts w:hint="eastAsia" w:ascii="宋体" w:hAnsi="宋体" w:eastAsia="宋体" w:cs="宋体"/>
                <w:i w:val="0"/>
                <w:iCs w:val="0"/>
                <w:color w:val="000000"/>
                <w:sz w:val="18"/>
                <w:szCs w:val="18"/>
                <w:u w:val="none"/>
              </w:rPr>
            </w:pPr>
          </w:p>
        </w:tc>
        <w:tc>
          <w:tcPr>
            <w:tcW w:w="1079" w:type="dxa"/>
            <w:tcBorders>
              <w:top w:val="single" w:color="000000" w:sz="4" w:space="0"/>
              <w:left w:val="nil"/>
              <w:bottom w:val="single" w:color="000000" w:sz="4" w:space="0"/>
              <w:right w:val="single" w:color="000000" w:sz="4" w:space="0"/>
            </w:tcBorders>
            <w:shd w:val="clear" w:color="auto" w:fill="auto"/>
            <w:vAlign w:val="center"/>
          </w:tcPr>
          <w:p w14:paraId="29FAF4C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24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B02FB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质量指标</w:t>
            </w:r>
          </w:p>
        </w:tc>
        <w:tc>
          <w:tcPr>
            <w:tcW w:w="418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39096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刊物印制率</w:t>
            </w:r>
          </w:p>
        </w:tc>
        <w:tc>
          <w:tcPr>
            <w:tcW w:w="107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65E0E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4584A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B73AA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364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07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87B77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08495F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7C16F30">
            <w:pPr>
              <w:jc w:val="center"/>
              <w:rPr>
                <w:rFonts w:hint="eastAsia" w:ascii="宋体" w:hAnsi="宋体" w:eastAsia="宋体" w:cs="宋体"/>
                <w:i w:val="0"/>
                <w:iCs w:val="0"/>
                <w:color w:val="000000"/>
                <w:sz w:val="18"/>
                <w:szCs w:val="18"/>
                <w:u w:val="none"/>
              </w:rPr>
            </w:pPr>
          </w:p>
        </w:tc>
      </w:tr>
      <w:tr w14:paraId="71292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7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F0C73E">
            <w:pPr>
              <w:jc w:val="center"/>
              <w:rPr>
                <w:rFonts w:hint="eastAsia" w:ascii="宋体" w:hAnsi="宋体" w:eastAsia="宋体" w:cs="宋体"/>
                <w:i w:val="0"/>
                <w:iCs w:val="0"/>
                <w:color w:val="000000"/>
                <w:sz w:val="18"/>
                <w:szCs w:val="18"/>
                <w:u w:val="none"/>
              </w:rPr>
            </w:pPr>
          </w:p>
        </w:tc>
        <w:tc>
          <w:tcPr>
            <w:tcW w:w="1079" w:type="dxa"/>
            <w:tcBorders>
              <w:top w:val="single" w:color="000000" w:sz="4" w:space="0"/>
              <w:left w:val="nil"/>
              <w:bottom w:val="single" w:color="000000" w:sz="4" w:space="0"/>
              <w:right w:val="single" w:color="000000" w:sz="4" w:space="0"/>
            </w:tcBorders>
            <w:shd w:val="clear" w:color="auto" w:fill="auto"/>
            <w:vAlign w:val="center"/>
          </w:tcPr>
          <w:p w14:paraId="033F20F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24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2EABE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质量指标</w:t>
            </w:r>
          </w:p>
        </w:tc>
        <w:tc>
          <w:tcPr>
            <w:tcW w:w="418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F71A4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课题开展率</w:t>
            </w:r>
          </w:p>
        </w:tc>
        <w:tc>
          <w:tcPr>
            <w:tcW w:w="107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081A2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70AEB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5BEC6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E89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07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38D9B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164E2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1F837DF">
            <w:pPr>
              <w:jc w:val="center"/>
              <w:rPr>
                <w:rFonts w:hint="eastAsia" w:ascii="宋体" w:hAnsi="宋体" w:eastAsia="宋体" w:cs="宋体"/>
                <w:i w:val="0"/>
                <w:iCs w:val="0"/>
                <w:color w:val="000000"/>
                <w:sz w:val="18"/>
                <w:szCs w:val="18"/>
                <w:u w:val="none"/>
              </w:rPr>
            </w:pPr>
          </w:p>
        </w:tc>
      </w:tr>
      <w:tr w14:paraId="0E526A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107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20A77D">
            <w:pPr>
              <w:jc w:val="center"/>
              <w:rPr>
                <w:rFonts w:hint="eastAsia" w:ascii="宋体" w:hAnsi="宋体" w:eastAsia="宋体" w:cs="宋体"/>
                <w:i w:val="0"/>
                <w:iCs w:val="0"/>
                <w:color w:val="000000"/>
                <w:sz w:val="18"/>
                <w:szCs w:val="18"/>
                <w:u w:val="none"/>
              </w:rPr>
            </w:pPr>
          </w:p>
        </w:tc>
        <w:tc>
          <w:tcPr>
            <w:tcW w:w="1079" w:type="dxa"/>
            <w:tcBorders>
              <w:top w:val="single" w:color="000000" w:sz="4" w:space="0"/>
              <w:left w:val="nil"/>
              <w:bottom w:val="single" w:color="000000" w:sz="4" w:space="0"/>
              <w:right w:val="single" w:color="000000" w:sz="4" w:space="0"/>
            </w:tcBorders>
            <w:shd w:val="clear" w:color="auto" w:fill="auto"/>
            <w:vAlign w:val="center"/>
          </w:tcPr>
          <w:p w14:paraId="567B449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24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C4498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时效指标</w:t>
            </w:r>
          </w:p>
        </w:tc>
        <w:tc>
          <w:tcPr>
            <w:tcW w:w="418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D1BB4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省法学会白酒产业法治研究会年会按时举办</w:t>
            </w:r>
          </w:p>
        </w:tc>
        <w:tc>
          <w:tcPr>
            <w:tcW w:w="107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C7ABE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D7804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F0328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天</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98368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07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6FE67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104D4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6502A3F">
            <w:pPr>
              <w:jc w:val="center"/>
              <w:rPr>
                <w:rFonts w:hint="eastAsia" w:ascii="宋体" w:hAnsi="宋体" w:eastAsia="宋体" w:cs="宋体"/>
                <w:i w:val="0"/>
                <w:iCs w:val="0"/>
                <w:color w:val="000000"/>
                <w:sz w:val="18"/>
                <w:szCs w:val="18"/>
                <w:u w:val="none"/>
              </w:rPr>
            </w:pPr>
          </w:p>
        </w:tc>
      </w:tr>
      <w:tr w14:paraId="678D6A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7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9D7300">
            <w:pPr>
              <w:jc w:val="center"/>
              <w:rPr>
                <w:rFonts w:hint="eastAsia" w:ascii="宋体" w:hAnsi="宋体" w:eastAsia="宋体" w:cs="宋体"/>
                <w:i w:val="0"/>
                <w:iCs w:val="0"/>
                <w:color w:val="000000"/>
                <w:sz w:val="18"/>
                <w:szCs w:val="18"/>
                <w:u w:val="none"/>
              </w:rPr>
            </w:pPr>
          </w:p>
        </w:tc>
        <w:tc>
          <w:tcPr>
            <w:tcW w:w="1079" w:type="dxa"/>
            <w:tcBorders>
              <w:top w:val="single" w:color="000000" w:sz="4" w:space="0"/>
              <w:left w:val="nil"/>
              <w:bottom w:val="single" w:color="000000" w:sz="4" w:space="0"/>
              <w:right w:val="single" w:color="000000" w:sz="4" w:space="0"/>
            </w:tcBorders>
            <w:shd w:val="clear" w:color="auto" w:fill="auto"/>
            <w:vAlign w:val="center"/>
          </w:tcPr>
          <w:p w14:paraId="177AC39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24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D576D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时效指标</w:t>
            </w:r>
          </w:p>
        </w:tc>
        <w:tc>
          <w:tcPr>
            <w:tcW w:w="418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4A6A2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完成时限 </w:t>
            </w:r>
          </w:p>
        </w:tc>
        <w:tc>
          <w:tcPr>
            <w:tcW w:w="107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2A0EA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A224E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67A74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44271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7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E0367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A9B1E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4318EA9">
            <w:pPr>
              <w:jc w:val="center"/>
              <w:rPr>
                <w:rFonts w:hint="eastAsia" w:ascii="宋体" w:hAnsi="宋体" w:eastAsia="宋体" w:cs="宋体"/>
                <w:i w:val="0"/>
                <w:iCs w:val="0"/>
                <w:color w:val="000000"/>
                <w:sz w:val="18"/>
                <w:szCs w:val="18"/>
                <w:u w:val="none"/>
              </w:rPr>
            </w:pPr>
          </w:p>
        </w:tc>
      </w:tr>
      <w:tr w14:paraId="1B5464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7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D93BCB">
            <w:pPr>
              <w:jc w:val="center"/>
              <w:rPr>
                <w:rFonts w:hint="eastAsia" w:ascii="宋体" w:hAnsi="宋体" w:eastAsia="宋体" w:cs="宋体"/>
                <w:i w:val="0"/>
                <w:iCs w:val="0"/>
                <w:color w:val="000000"/>
                <w:sz w:val="18"/>
                <w:szCs w:val="18"/>
                <w:u w:val="none"/>
              </w:rPr>
            </w:pPr>
          </w:p>
        </w:tc>
        <w:tc>
          <w:tcPr>
            <w:tcW w:w="1079" w:type="dxa"/>
            <w:tcBorders>
              <w:top w:val="single" w:color="000000" w:sz="4" w:space="0"/>
              <w:left w:val="nil"/>
              <w:bottom w:val="single" w:color="000000" w:sz="4" w:space="0"/>
              <w:right w:val="single" w:color="000000" w:sz="4" w:space="0"/>
            </w:tcBorders>
            <w:shd w:val="clear" w:color="auto" w:fill="auto"/>
            <w:vAlign w:val="center"/>
          </w:tcPr>
          <w:p w14:paraId="29911CE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效益指标</w:t>
            </w:r>
          </w:p>
        </w:tc>
        <w:tc>
          <w:tcPr>
            <w:tcW w:w="124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99524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社会效益指标</w:t>
            </w:r>
          </w:p>
        </w:tc>
        <w:tc>
          <w:tcPr>
            <w:tcW w:w="418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F9BEC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开展课题、刊物发行，对政法工作起积极作用率95%以上为优，90%-95%为良，小于90%为差</w:t>
            </w:r>
          </w:p>
        </w:tc>
        <w:tc>
          <w:tcPr>
            <w:tcW w:w="107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87E5E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A0B75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98C87DB">
            <w:pPr>
              <w:jc w:val="center"/>
              <w:rPr>
                <w:rFonts w:hint="eastAsia" w:ascii="宋体" w:hAnsi="宋体" w:eastAsia="宋体" w:cs="宋体"/>
                <w:i w:val="0"/>
                <w:iCs w:val="0"/>
                <w:color w:val="000000"/>
                <w:sz w:val="18"/>
                <w:szCs w:val="18"/>
                <w:u w:val="none"/>
              </w:rPr>
            </w:pP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906BD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w:t>
            </w:r>
          </w:p>
        </w:tc>
        <w:tc>
          <w:tcPr>
            <w:tcW w:w="107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2A578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25452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ECFF436">
            <w:pPr>
              <w:jc w:val="center"/>
              <w:rPr>
                <w:rFonts w:hint="eastAsia" w:ascii="宋体" w:hAnsi="宋体" w:eastAsia="宋体" w:cs="宋体"/>
                <w:i w:val="0"/>
                <w:iCs w:val="0"/>
                <w:color w:val="000000"/>
                <w:sz w:val="18"/>
                <w:szCs w:val="18"/>
                <w:u w:val="none"/>
              </w:rPr>
            </w:pPr>
          </w:p>
        </w:tc>
      </w:tr>
      <w:tr w14:paraId="5381EF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07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F9C186">
            <w:pPr>
              <w:jc w:val="center"/>
              <w:rPr>
                <w:rFonts w:hint="eastAsia" w:ascii="宋体" w:hAnsi="宋体" w:eastAsia="宋体" w:cs="宋体"/>
                <w:i w:val="0"/>
                <w:iCs w:val="0"/>
                <w:color w:val="000000"/>
                <w:sz w:val="18"/>
                <w:szCs w:val="18"/>
                <w:u w:val="none"/>
              </w:rPr>
            </w:pPr>
          </w:p>
        </w:tc>
        <w:tc>
          <w:tcPr>
            <w:tcW w:w="1079" w:type="dxa"/>
            <w:tcBorders>
              <w:top w:val="single" w:color="000000" w:sz="4" w:space="0"/>
              <w:left w:val="nil"/>
              <w:bottom w:val="single" w:color="000000" w:sz="4" w:space="0"/>
              <w:right w:val="single" w:color="000000" w:sz="4" w:space="0"/>
            </w:tcBorders>
            <w:shd w:val="clear" w:color="auto" w:fill="auto"/>
            <w:vAlign w:val="center"/>
          </w:tcPr>
          <w:p w14:paraId="4E5DE03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效益指标</w:t>
            </w:r>
          </w:p>
        </w:tc>
        <w:tc>
          <w:tcPr>
            <w:tcW w:w="124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51D60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社会效益指标</w:t>
            </w:r>
          </w:p>
        </w:tc>
        <w:tc>
          <w:tcPr>
            <w:tcW w:w="418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1D625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提升法制水平率95%以上为优，90%-95%为良，小于90%为差</w:t>
            </w:r>
          </w:p>
        </w:tc>
        <w:tc>
          <w:tcPr>
            <w:tcW w:w="107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75D94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F0495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548C9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66FF0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w:t>
            </w:r>
          </w:p>
        </w:tc>
        <w:tc>
          <w:tcPr>
            <w:tcW w:w="107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3765C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89700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97A92A1">
            <w:pPr>
              <w:jc w:val="center"/>
              <w:rPr>
                <w:rFonts w:hint="eastAsia" w:ascii="宋体" w:hAnsi="宋体" w:eastAsia="宋体" w:cs="宋体"/>
                <w:i w:val="0"/>
                <w:iCs w:val="0"/>
                <w:color w:val="000000"/>
                <w:sz w:val="18"/>
                <w:szCs w:val="18"/>
                <w:u w:val="none"/>
              </w:rPr>
            </w:pPr>
          </w:p>
        </w:tc>
      </w:tr>
      <w:tr w14:paraId="0A3F44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7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B182F8">
            <w:pPr>
              <w:jc w:val="center"/>
              <w:rPr>
                <w:rFonts w:hint="eastAsia" w:ascii="宋体" w:hAnsi="宋体" w:eastAsia="宋体" w:cs="宋体"/>
                <w:i w:val="0"/>
                <w:iCs w:val="0"/>
                <w:color w:val="000000"/>
                <w:sz w:val="18"/>
                <w:szCs w:val="18"/>
                <w:u w:val="none"/>
              </w:rPr>
            </w:pPr>
          </w:p>
        </w:tc>
        <w:tc>
          <w:tcPr>
            <w:tcW w:w="1079" w:type="dxa"/>
            <w:tcBorders>
              <w:top w:val="single" w:color="000000" w:sz="4" w:space="0"/>
              <w:left w:val="nil"/>
              <w:bottom w:val="single" w:color="000000" w:sz="4" w:space="0"/>
              <w:right w:val="single" w:color="000000" w:sz="4" w:space="0"/>
            </w:tcBorders>
            <w:shd w:val="clear" w:color="auto" w:fill="auto"/>
            <w:vAlign w:val="center"/>
          </w:tcPr>
          <w:p w14:paraId="5921A42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效益指标</w:t>
            </w:r>
          </w:p>
        </w:tc>
        <w:tc>
          <w:tcPr>
            <w:tcW w:w="124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CF63A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可持续影响指标</w:t>
            </w:r>
          </w:p>
        </w:tc>
        <w:tc>
          <w:tcPr>
            <w:tcW w:w="418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19EC4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刊物持续影响</w:t>
            </w:r>
          </w:p>
        </w:tc>
        <w:tc>
          <w:tcPr>
            <w:tcW w:w="107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EE992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BBF05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6A991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FC4B5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7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C4C1A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829CBF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CF8D648">
            <w:pPr>
              <w:jc w:val="center"/>
              <w:rPr>
                <w:rFonts w:hint="eastAsia" w:ascii="宋体" w:hAnsi="宋体" w:eastAsia="宋体" w:cs="宋体"/>
                <w:i w:val="0"/>
                <w:iCs w:val="0"/>
                <w:color w:val="000000"/>
                <w:sz w:val="18"/>
                <w:szCs w:val="18"/>
                <w:u w:val="none"/>
              </w:rPr>
            </w:pPr>
          </w:p>
        </w:tc>
      </w:tr>
      <w:tr w14:paraId="797BEA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07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B82EC5">
            <w:pPr>
              <w:jc w:val="center"/>
              <w:rPr>
                <w:rFonts w:hint="eastAsia" w:ascii="宋体" w:hAnsi="宋体" w:eastAsia="宋体" w:cs="宋体"/>
                <w:i w:val="0"/>
                <w:iCs w:val="0"/>
                <w:color w:val="000000"/>
                <w:sz w:val="18"/>
                <w:szCs w:val="18"/>
                <w:u w:val="none"/>
              </w:rPr>
            </w:pPr>
          </w:p>
        </w:tc>
        <w:tc>
          <w:tcPr>
            <w:tcW w:w="1079" w:type="dxa"/>
            <w:tcBorders>
              <w:top w:val="single" w:color="000000" w:sz="4" w:space="0"/>
              <w:left w:val="nil"/>
              <w:bottom w:val="single" w:color="000000" w:sz="4" w:space="0"/>
              <w:right w:val="single" w:color="000000" w:sz="4" w:space="0"/>
            </w:tcBorders>
            <w:shd w:val="clear" w:color="auto" w:fill="auto"/>
            <w:vAlign w:val="center"/>
          </w:tcPr>
          <w:p w14:paraId="00578FA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满意度指标</w:t>
            </w:r>
          </w:p>
        </w:tc>
        <w:tc>
          <w:tcPr>
            <w:tcW w:w="124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DFC27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服务对象满意度指标</w:t>
            </w:r>
          </w:p>
        </w:tc>
        <w:tc>
          <w:tcPr>
            <w:tcW w:w="418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80E19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广大法学法律工作者服务满意度</w:t>
            </w:r>
          </w:p>
        </w:tc>
        <w:tc>
          <w:tcPr>
            <w:tcW w:w="107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F66EE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7FA5C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98</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F203F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8F52C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98</w:t>
            </w:r>
          </w:p>
        </w:tc>
        <w:tc>
          <w:tcPr>
            <w:tcW w:w="107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5EDA5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E80522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EC1EC25">
            <w:pPr>
              <w:jc w:val="center"/>
              <w:rPr>
                <w:rFonts w:hint="eastAsia" w:ascii="宋体" w:hAnsi="宋体" w:eastAsia="宋体" w:cs="宋体"/>
                <w:i w:val="0"/>
                <w:iCs w:val="0"/>
                <w:color w:val="000000"/>
                <w:sz w:val="18"/>
                <w:szCs w:val="18"/>
                <w:u w:val="none"/>
              </w:rPr>
            </w:pPr>
          </w:p>
        </w:tc>
      </w:tr>
      <w:tr w14:paraId="432B75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7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9AD02B">
            <w:pPr>
              <w:jc w:val="center"/>
              <w:rPr>
                <w:rFonts w:hint="eastAsia" w:ascii="宋体" w:hAnsi="宋体" w:eastAsia="宋体" w:cs="宋体"/>
                <w:i w:val="0"/>
                <w:iCs w:val="0"/>
                <w:color w:val="000000"/>
                <w:sz w:val="18"/>
                <w:szCs w:val="18"/>
                <w:u w:val="none"/>
              </w:rPr>
            </w:pPr>
          </w:p>
        </w:tc>
        <w:tc>
          <w:tcPr>
            <w:tcW w:w="1079" w:type="dxa"/>
            <w:tcBorders>
              <w:top w:val="single" w:color="000000" w:sz="4" w:space="0"/>
              <w:left w:val="nil"/>
              <w:bottom w:val="single" w:color="000000" w:sz="4" w:space="0"/>
              <w:right w:val="single" w:color="000000" w:sz="4" w:space="0"/>
            </w:tcBorders>
            <w:shd w:val="clear" w:color="auto" w:fill="auto"/>
            <w:vAlign w:val="center"/>
          </w:tcPr>
          <w:p w14:paraId="2940272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满意度指标</w:t>
            </w:r>
          </w:p>
        </w:tc>
        <w:tc>
          <w:tcPr>
            <w:tcW w:w="124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6F39E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服务对象满意度指标</w:t>
            </w:r>
          </w:p>
        </w:tc>
        <w:tc>
          <w:tcPr>
            <w:tcW w:w="418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9A810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政法委满意度</w:t>
            </w:r>
          </w:p>
        </w:tc>
        <w:tc>
          <w:tcPr>
            <w:tcW w:w="107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A54B4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6A917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98</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34543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C18F1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98</w:t>
            </w:r>
          </w:p>
        </w:tc>
        <w:tc>
          <w:tcPr>
            <w:tcW w:w="107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BE130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F53C76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DEA71D8">
            <w:pPr>
              <w:jc w:val="center"/>
              <w:rPr>
                <w:rFonts w:hint="eastAsia" w:ascii="宋体" w:hAnsi="宋体" w:eastAsia="宋体" w:cs="宋体"/>
                <w:i w:val="0"/>
                <w:iCs w:val="0"/>
                <w:color w:val="000000"/>
                <w:sz w:val="18"/>
                <w:szCs w:val="18"/>
                <w:u w:val="none"/>
              </w:rPr>
            </w:pPr>
          </w:p>
        </w:tc>
      </w:tr>
      <w:tr w14:paraId="1CAB02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7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7C3428">
            <w:pPr>
              <w:jc w:val="center"/>
              <w:rPr>
                <w:rFonts w:hint="eastAsia" w:ascii="宋体" w:hAnsi="宋体" w:eastAsia="宋体" w:cs="宋体"/>
                <w:i w:val="0"/>
                <w:iCs w:val="0"/>
                <w:color w:val="000000"/>
                <w:sz w:val="18"/>
                <w:szCs w:val="18"/>
                <w:u w:val="none"/>
              </w:rPr>
            </w:pPr>
          </w:p>
        </w:tc>
        <w:tc>
          <w:tcPr>
            <w:tcW w:w="1079" w:type="dxa"/>
            <w:tcBorders>
              <w:top w:val="single" w:color="000000" w:sz="4" w:space="0"/>
              <w:left w:val="nil"/>
              <w:bottom w:val="single" w:color="000000" w:sz="4" w:space="0"/>
              <w:right w:val="single" w:color="000000" w:sz="4" w:space="0"/>
            </w:tcBorders>
            <w:shd w:val="clear" w:color="auto" w:fill="auto"/>
            <w:vAlign w:val="center"/>
          </w:tcPr>
          <w:p w14:paraId="4DEE61A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成本指标</w:t>
            </w:r>
          </w:p>
        </w:tc>
        <w:tc>
          <w:tcPr>
            <w:tcW w:w="124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11613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经济成本指标</w:t>
            </w:r>
          </w:p>
        </w:tc>
        <w:tc>
          <w:tcPr>
            <w:tcW w:w="418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B6C94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2024年法学会课题经费</w:t>
            </w:r>
          </w:p>
        </w:tc>
        <w:tc>
          <w:tcPr>
            <w:tcW w:w="107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51F57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4D59F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848D0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万元/每项目</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A2F7C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w:t>
            </w:r>
          </w:p>
        </w:tc>
        <w:tc>
          <w:tcPr>
            <w:tcW w:w="107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08688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F86F6B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1B78F83">
            <w:pPr>
              <w:jc w:val="center"/>
              <w:rPr>
                <w:rFonts w:hint="eastAsia" w:ascii="宋体" w:hAnsi="宋体" w:eastAsia="宋体" w:cs="宋体"/>
                <w:i w:val="0"/>
                <w:iCs w:val="0"/>
                <w:color w:val="000000"/>
                <w:sz w:val="18"/>
                <w:szCs w:val="18"/>
                <w:u w:val="none"/>
              </w:rPr>
            </w:pPr>
          </w:p>
        </w:tc>
      </w:tr>
      <w:tr w14:paraId="5B0C2A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07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6BB717">
            <w:pPr>
              <w:jc w:val="center"/>
              <w:rPr>
                <w:rFonts w:hint="eastAsia" w:ascii="宋体" w:hAnsi="宋体" w:eastAsia="宋体" w:cs="宋体"/>
                <w:i w:val="0"/>
                <w:iCs w:val="0"/>
                <w:color w:val="000000"/>
                <w:sz w:val="18"/>
                <w:szCs w:val="18"/>
                <w:u w:val="none"/>
              </w:rPr>
            </w:pPr>
          </w:p>
        </w:tc>
        <w:tc>
          <w:tcPr>
            <w:tcW w:w="1079" w:type="dxa"/>
            <w:tcBorders>
              <w:top w:val="single" w:color="000000" w:sz="4" w:space="0"/>
              <w:left w:val="nil"/>
              <w:bottom w:val="single" w:color="000000" w:sz="4" w:space="0"/>
              <w:right w:val="single" w:color="000000" w:sz="4" w:space="0"/>
            </w:tcBorders>
            <w:shd w:val="clear" w:color="auto" w:fill="auto"/>
            <w:vAlign w:val="center"/>
          </w:tcPr>
          <w:p w14:paraId="6E56155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成本指标</w:t>
            </w:r>
          </w:p>
        </w:tc>
        <w:tc>
          <w:tcPr>
            <w:tcW w:w="124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069C8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经济成本指标</w:t>
            </w:r>
          </w:p>
        </w:tc>
        <w:tc>
          <w:tcPr>
            <w:tcW w:w="418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EB649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2024年省法学会白酒产业法治研究会年会费用</w:t>
            </w:r>
          </w:p>
        </w:tc>
        <w:tc>
          <w:tcPr>
            <w:tcW w:w="107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ABFD0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0618A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E8F7A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万元/年</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75FFE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107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A5B6D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2C5ABF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11</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1D4B4A0">
            <w:pPr>
              <w:jc w:val="center"/>
              <w:rPr>
                <w:rFonts w:hint="eastAsia" w:ascii="宋体" w:hAnsi="宋体" w:eastAsia="宋体" w:cs="宋体"/>
                <w:i w:val="0"/>
                <w:iCs w:val="0"/>
                <w:color w:val="000000"/>
                <w:sz w:val="18"/>
                <w:szCs w:val="18"/>
                <w:u w:val="none"/>
              </w:rPr>
            </w:pPr>
          </w:p>
        </w:tc>
      </w:tr>
      <w:tr w14:paraId="0F4B77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1904" w:type="dxa"/>
            <w:gridSpan w:val="32"/>
            <w:tcBorders>
              <w:top w:val="single" w:color="000000" w:sz="4" w:space="0"/>
              <w:left w:val="single" w:color="000000" w:sz="4" w:space="0"/>
              <w:bottom w:val="single" w:color="000000" w:sz="4" w:space="0"/>
              <w:right w:val="single" w:color="000000" w:sz="4" w:space="0"/>
            </w:tcBorders>
            <w:shd w:val="clear" w:color="auto" w:fill="auto"/>
            <w:vAlign w:val="center"/>
          </w:tcPr>
          <w:p w14:paraId="445FD43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107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F305DD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7377244">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52076B3">
            <w:pPr>
              <w:rPr>
                <w:rFonts w:hint="eastAsia" w:ascii="宋体" w:hAnsi="宋体" w:eastAsia="宋体" w:cs="宋体"/>
                <w:i w:val="0"/>
                <w:iCs w:val="0"/>
                <w:color w:val="000000"/>
                <w:sz w:val="18"/>
                <w:szCs w:val="18"/>
                <w:u w:val="none"/>
              </w:rPr>
            </w:pPr>
          </w:p>
        </w:tc>
      </w:tr>
      <w:tr w14:paraId="3682DE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10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B613E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14062" w:type="dxa"/>
            <w:gridSpan w:val="40"/>
            <w:tcBorders>
              <w:top w:val="single" w:color="000000" w:sz="4" w:space="0"/>
              <w:left w:val="single" w:color="000000" w:sz="4" w:space="0"/>
              <w:bottom w:val="single" w:color="000000" w:sz="4" w:space="0"/>
              <w:right w:val="single" w:color="000000" w:sz="4" w:space="0"/>
            </w:tcBorders>
            <w:shd w:val="clear" w:color="auto" w:fill="auto"/>
            <w:vAlign w:val="center"/>
          </w:tcPr>
          <w:p w14:paraId="595573FC">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项目自评分95分，完成了《名优白酒刑事保护机制的实践与完善》等重点课题，形成研究成果。举办四川省法学会白酒产业法治研究会年会。为当地白酒行业知识产权保驾护航。项目总体超额完成预期目标，尤其在地方法治智库作用发挥和基层普法方面成交显著。</w:t>
            </w:r>
          </w:p>
        </w:tc>
      </w:tr>
      <w:tr w14:paraId="7E7075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0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D210D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14062" w:type="dxa"/>
            <w:gridSpan w:val="40"/>
            <w:tcBorders>
              <w:top w:val="single" w:color="000000" w:sz="4" w:space="0"/>
              <w:left w:val="single" w:color="000000" w:sz="4" w:space="0"/>
              <w:bottom w:val="single" w:color="000000" w:sz="4" w:space="0"/>
              <w:right w:val="single" w:color="000000" w:sz="4" w:space="0"/>
            </w:tcBorders>
            <w:shd w:val="clear" w:color="auto" w:fill="auto"/>
            <w:vAlign w:val="center"/>
          </w:tcPr>
          <w:p w14:paraId="4594E5E2">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存在的问题主要是部分课题研究成果转化率不足，调研报告与实务需求存在脱 节。主要原因是未建立成果转化责任清单，未能持续推动政策落地。</w:t>
            </w:r>
          </w:p>
        </w:tc>
      </w:tr>
      <w:tr w14:paraId="657344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0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2C5C4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14062" w:type="dxa"/>
            <w:gridSpan w:val="40"/>
            <w:tcBorders>
              <w:top w:val="single" w:color="000000" w:sz="4" w:space="0"/>
              <w:left w:val="single" w:color="000000" w:sz="4" w:space="0"/>
              <w:bottom w:val="single" w:color="000000" w:sz="4" w:space="0"/>
              <w:right w:val="single" w:color="000000" w:sz="4" w:space="0"/>
            </w:tcBorders>
            <w:shd w:val="clear" w:color="auto" w:fill="auto"/>
            <w:vAlign w:val="center"/>
          </w:tcPr>
          <w:p w14:paraId="3FD5C8D5">
            <w:pPr>
              <w:keepNext w:val="0"/>
              <w:keepLines w:val="0"/>
              <w:widowControl/>
              <w:suppressLineNumbers w:val="0"/>
              <w:jc w:val="left"/>
              <w:textAlignment w:val="center"/>
              <w:rPr>
                <w:rFonts w:hint="eastAsia" w:ascii="宋体" w:hAnsi="宋体" w:eastAsia="宋体" w:cs="宋体"/>
                <w:i/>
                <w:iCs/>
                <w:color w:val="000000"/>
                <w:sz w:val="16"/>
                <w:szCs w:val="16"/>
                <w:u w:val="none"/>
              </w:rPr>
            </w:pPr>
            <w:r>
              <w:rPr>
                <w:rFonts w:hint="eastAsia" w:ascii="宋体" w:hAnsi="宋体" w:eastAsia="宋体" w:cs="宋体"/>
                <w:i/>
                <w:iCs/>
                <w:color w:val="000000"/>
                <w:kern w:val="0"/>
                <w:sz w:val="16"/>
                <w:szCs w:val="16"/>
                <w:u w:val="none"/>
                <w:lang w:val="en-US" w:eastAsia="zh-CN" w:bidi="ar"/>
              </w:rPr>
              <w:t>强化课题研究与成果转化机制，提升法治宣传精准性与覆盖面。深化与企业合作和跨区域法治协作。争取党政支持，完善制度保障。优化激励政策，调动社会参与。</w:t>
            </w:r>
          </w:p>
        </w:tc>
      </w:tr>
      <w:tr w14:paraId="7BC960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67" w:type="dxa"/>
            <w:gridSpan w:val="19"/>
            <w:tcBorders>
              <w:top w:val="single" w:color="000000" w:sz="4" w:space="0"/>
              <w:left w:val="single" w:color="000000" w:sz="4" w:space="0"/>
              <w:bottom w:val="single" w:color="000000" w:sz="4" w:space="0"/>
              <w:right w:val="single" w:color="000000" w:sz="4" w:space="0"/>
            </w:tcBorders>
            <w:shd w:val="clear" w:color="auto" w:fill="auto"/>
            <w:vAlign w:val="center"/>
          </w:tcPr>
          <w:p w14:paraId="5DD1E8AE">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项目负责人：范金雁</w:t>
            </w:r>
          </w:p>
        </w:tc>
        <w:tc>
          <w:tcPr>
            <w:tcW w:w="6474" w:type="dxa"/>
            <w:gridSpan w:val="23"/>
            <w:tcBorders>
              <w:top w:val="single" w:color="000000" w:sz="4" w:space="0"/>
              <w:left w:val="single" w:color="000000" w:sz="4" w:space="0"/>
              <w:bottom w:val="single" w:color="000000" w:sz="4" w:space="0"/>
              <w:right w:val="single" w:color="000000" w:sz="4" w:space="0"/>
            </w:tcBorders>
            <w:shd w:val="clear" w:color="auto" w:fill="auto"/>
            <w:vAlign w:val="center"/>
          </w:tcPr>
          <w:p w14:paraId="267425A8">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财务负责人：王良洪</w:t>
            </w:r>
          </w:p>
        </w:tc>
      </w:tr>
      <w:tr w14:paraId="6649E9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79" w:type="dxa"/>
            <w:gridSpan w:val="2"/>
            <w:tcBorders>
              <w:top w:val="nil"/>
              <w:left w:val="nil"/>
              <w:bottom w:val="nil"/>
              <w:right w:val="nil"/>
            </w:tcBorders>
            <w:shd w:val="clear" w:color="auto" w:fill="auto"/>
            <w:vAlign w:val="center"/>
          </w:tcPr>
          <w:p w14:paraId="53DA12CF">
            <w:pPr>
              <w:rPr>
                <w:rFonts w:hint="eastAsia" w:ascii="宋体" w:hAnsi="宋体" w:eastAsia="宋体" w:cs="宋体"/>
                <w:i w:val="0"/>
                <w:iCs w:val="0"/>
                <w:color w:val="000000"/>
                <w:sz w:val="18"/>
                <w:szCs w:val="18"/>
                <w:u w:val="none"/>
              </w:rPr>
            </w:pPr>
          </w:p>
        </w:tc>
        <w:tc>
          <w:tcPr>
            <w:tcW w:w="1079" w:type="dxa"/>
            <w:tcBorders>
              <w:top w:val="nil"/>
              <w:left w:val="nil"/>
              <w:bottom w:val="nil"/>
              <w:right w:val="nil"/>
            </w:tcBorders>
            <w:shd w:val="clear" w:color="auto" w:fill="auto"/>
            <w:vAlign w:val="center"/>
          </w:tcPr>
          <w:p w14:paraId="69E3E49C">
            <w:pPr>
              <w:rPr>
                <w:rFonts w:hint="eastAsia" w:ascii="宋体" w:hAnsi="宋体" w:eastAsia="宋体" w:cs="宋体"/>
                <w:i w:val="0"/>
                <w:iCs w:val="0"/>
                <w:color w:val="000000"/>
                <w:sz w:val="18"/>
                <w:szCs w:val="18"/>
                <w:u w:val="none"/>
              </w:rPr>
            </w:pPr>
          </w:p>
        </w:tc>
        <w:tc>
          <w:tcPr>
            <w:tcW w:w="1245" w:type="dxa"/>
            <w:gridSpan w:val="4"/>
            <w:tcBorders>
              <w:top w:val="nil"/>
              <w:left w:val="nil"/>
              <w:bottom w:val="nil"/>
              <w:right w:val="nil"/>
            </w:tcBorders>
            <w:shd w:val="clear" w:color="auto" w:fill="auto"/>
            <w:vAlign w:val="center"/>
          </w:tcPr>
          <w:p w14:paraId="007052AC">
            <w:pPr>
              <w:rPr>
                <w:rFonts w:hint="eastAsia" w:ascii="宋体" w:hAnsi="宋体" w:eastAsia="宋体" w:cs="宋体"/>
                <w:i w:val="0"/>
                <w:iCs w:val="0"/>
                <w:color w:val="000000"/>
                <w:sz w:val="18"/>
                <w:szCs w:val="18"/>
                <w:u w:val="none"/>
              </w:rPr>
            </w:pPr>
          </w:p>
        </w:tc>
        <w:tc>
          <w:tcPr>
            <w:tcW w:w="4185" w:type="dxa"/>
            <w:gridSpan w:val="8"/>
            <w:tcBorders>
              <w:top w:val="nil"/>
              <w:left w:val="nil"/>
              <w:bottom w:val="nil"/>
              <w:right w:val="nil"/>
            </w:tcBorders>
            <w:shd w:val="clear" w:color="auto" w:fill="auto"/>
            <w:vAlign w:val="center"/>
          </w:tcPr>
          <w:p w14:paraId="3248FABA">
            <w:pPr>
              <w:rPr>
                <w:rFonts w:hint="eastAsia" w:ascii="宋体" w:hAnsi="宋体" w:eastAsia="宋体" w:cs="宋体"/>
                <w:i w:val="0"/>
                <w:iCs w:val="0"/>
                <w:color w:val="000000"/>
                <w:sz w:val="18"/>
                <w:szCs w:val="18"/>
                <w:u w:val="none"/>
              </w:rPr>
            </w:pPr>
          </w:p>
        </w:tc>
        <w:tc>
          <w:tcPr>
            <w:tcW w:w="1079" w:type="dxa"/>
            <w:gridSpan w:val="4"/>
            <w:tcBorders>
              <w:top w:val="nil"/>
              <w:left w:val="nil"/>
              <w:bottom w:val="nil"/>
              <w:right w:val="nil"/>
            </w:tcBorders>
            <w:shd w:val="clear" w:color="auto" w:fill="auto"/>
            <w:vAlign w:val="center"/>
          </w:tcPr>
          <w:p w14:paraId="0CA3EE68">
            <w:pPr>
              <w:rPr>
                <w:rFonts w:hint="eastAsia" w:ascii="宋体" w:hAnsi="宋体" w:eastAsia="宋体" w:cs="宋体"/>
                <w:i w:val="0"/>
                <w:iCs w:val="0"/>
                <w:color w:val="000000"/>
                <w:sz w:val="18"/>
                <w:szCs w:val="18"/>
                <w:u w:val="none"/>
              </w:rPr>
            </w:pPr>
          </w:p>
        </w:tc>
        <w:tc>
          <w:tcPr>
            <w:tcW w:w="1079" w:type="dxa"/>
            <w:gridSpan w:val="3"/>
            <w:tcBorders>
              <w:top w:val="nil"/>
              <w:left w:val="nil"/>
              <w:bottom w:val="nil"/>
              <w:right w:val="nil"/>
            </w:tcBorders>
            <w:shd w:val="clear" w:color="auto" w:fill="auto"/>
            <w:vAlign w:val="center"/>
          </w:tcPr>
          <w:p w14:paraId="72BF8224">
            <w:pPr>
              <w:rPr>
                <w:rFonts w:hint="eastAsia" w:ascii="宋体" w:hAnsi="宋体" w:eastAsia="宋体" w:cs="宋体"/>
                <w:i w:val="0"/>
                <w:iCs w:val="0"/>
                <w:color w:val="000000"/>
                <w:sz w:val="18"/>
                <w:szCs w:val="18"/>
                <w:u w:val="none"/>
              </w:rPr>
            </w:pPr>
          </w:p>
        </w:tc>
        <w:tc>
          <w:tcPr>
            <w:tcW w:w="1079" w:type="dxa"/>
            <w:gridSpan w:val="5"/>
            <w:tcBorders>
              <w:top w:val="nil"/>
              <w:left w:val="nil"/>
              <w:bottom w:val="nil"/>
              <w:right w:val="nil"/>
            </w:tcBorders>
            <w:shd w:val="clear" w:color="auto" w:fill="auto"/>
            <w:vAlign w:val="center"/>
          </w:tcPr>
          <w:p w14:paraId="73AF9845">
            <w:pPr>
              <w:rPr>
                <w:rFonts w:hint="eastAsia" w:ascii="宋体" w:hAnsi="宋体" w:eastAsia="宋体" w:cs="宋体"/>
                <w:i w:val="0"/>
                <w:iCs w:val="0"/>
                <w:color w:val="000000"/>
                <w:sz w:val="18"/>
                <w:szCs w:val="18"/>
                <w:u w:val="none"/>
              </w:rPr>
            </w:pPr>
          </w:p>
        </w:tc>
        <w:tc>
          <w:tcPr>
            <w:tcW w:w="1079" w:type="dxa"/>
            <w:gridSpan w:val="5"/>
            <w:tcBorders>
              <w:top w:val="nil"/>
              <w:left w:val="nil"/>
              <w:bottom w:val="nil"/>
              <w:right w:val="nil"/>
            </w:tcBorders>
            <w:shd w:val="clear" w:color="auto" w:fill="auto"/>
            <w:vAlign w:val="center"/>
          </w:tcPr>
          <w:p w14:paraId="4E6D46C5">
            <w:pPr>
              <w:rPr>
                <w:rFonts w:hint="eastAsia" w:ascii="宋体" w:hAnsi="宋体" w:eastAsia="宋体" w:cs="宋体"/>
                <w:i w:val="0"/>
                <w:iCs w:val="0"/>
                <w:color w:val="000000"/>
                <w:sz w:val="18"/>
                <w:szCs w:val="18"/>
                <w:u w:val="none"/>
              </w:rPr>
            </w:pPr>
          </w:p>
        </w:tc>
        <w:tc>
          <w:tcPr>
            <w:tcW w:w="1079" w:type="dxa"/>
            <w:gridSpan w:val="4"/>
            <w:tcBorders>
              <w:top w:val="nil"/>
              <w:left w:val="nil"/>
              <w:bottom w:val="nil"/>
              <w:right w:val="nil"/>
            </w:tcBorders>
            <w:shd w:val="clear" w:color="auto" w:fill="auto"/>
            <w:vAlign w:val="center"/>
          </w:tcPr>
          <w:p w14:paraId="7AC40BB7">
            <w:pPr>
              <w:rPr>
                <w:rFonts w:hint="eastAsia" w:ascii="宋体" w:hAnsi="宋体" w:eastAsia="宋体" w:cs="宋体"/>
                <w:i w:val="0"/>
                <w:iCs w:val="0"/>
                <w:color w:val="000000"/>
                <w:sz w:val="18"/>
                <w:szCs w:val="18"/>
                <w:u w:val="none"/>
              </w:rPr>
            </w:pPr>
          </w:p>
        </w:tc>
        <w:tc>
          <w:tcPr>
            <w:tcW w:w="1079" w:type="dxa"/>
            <w:gridSpan w:val="3"/>
            <w:tcBorders>
              <w:top w:val="nil"/>
              <w:left w:val="nil"/>
              <w:bottom w:val="nil"/>
              <w:right w:val="nil"/>
            </w:tcBorders>
            <w:shd w:val="clear" w:color="auto" w:fill="auto"/>
            <w:vAlign w:val="center"/>
          </w:tcPr>
          <w:p w14:paraId="51294278">
            <w:pPr>
              <w:rPr>
                <w:rFonts w:hint="eastAsia" w:ascii="宋体" w:hAnsi="宋体" w:eastAsia="宋体" w:cs="宋体"/>
                <w:i w:val="0"/>
                <w:iCs w:val="0"/>
                <w:color w:val="000000"/>
                <w:sz w:val="18"/>
                <w:szCs w:val="18"/>
                <w:u w:val="none"/>
              </w:rPr>
            </w:pPr>
          </w:p>
        </w:tc>
        <w:tc>
          <w:tcPr>
            <w:tcW w:w="1079" w:type="dxa"/>
            <w:gridSpan w:val="3"/>
            <w:tcBorders>
              <w:top w:val="nil"/>
              <w:left w:val="nil"/>
              <w:bottom w:val="nil"/>
              <w:right w:val="nil"/>
            </w:tcBorders>
            <w:shd w:val="clear" w:color="auto" w:fill="auto"/>
            <w:vAlign w:val="center"/>
          </w:tcPr>
          <w:p w14:paraId="015E9ABD">
            <w:pPr>
              <w:rPr>
                <w:rFonts w:hint="eastAsia" w:ascii="宋体" w:hAnsi="宋体" w:eastAsia="宋体" w:cs="宋体"/>
                <w:i w:val="0"/>
                <w:iCs w:val="0"/>
                <w:color w:val="000000"/>
                <w:sz w:val="18"/>
                <w:szCs w:val="18"/>
                <w:u w:val="none"/>
              </w:rPr>
            </w:pPr>
          </w:p>
        </w:tc>
      </w:tr>
      <w:tr w14:paraId="4E7B96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4"/>
          <w:wAfter w:w="1350" w:type="dxa"/>
          <w:trHeight w:val="390" w:hRule="atLeast"/>
        </w:trPr>
        <w:tc>
          <w:tcPr>
            <w:tcW w:w="13791" w:type="dxa"/>
            <w:gridSpan w:val="38"/>
            <w:tcBorders>
              <w:top w:val="single" w:color="000000" w:sz="4" w:space="0"/>
              <w:left w:val="single" w:color="000000" w:sz="4" w:space="0"/>
              <w:bottom w:val="single" w:color="000000" w:sz="4" w:space="0"/>
              <w:right w:val="single" w:color="000000" w:sz="4" w:space="0"/>
            </w:tcBorders>
            <w:shd w:val="clear" w:color="auto" w:fill="auto"/>
            <w:vAlign w:val="center"/>
          </w:tcPr>
          <w:p w14:paraId="2F752997">
            <w:pPr>
              <w:keepNext w:val="0"/>
              <w:keepLines w:val="0"/>
              <w:widowControl/>
              <w:suppressLineNumbers w:val="0"/>
              <w:jc w:val="center"/>
              <w:textAlignment w:val="center"/>
              <w:rPr>
                <w:rFonts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01AF7A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4"/>
          <w:wAfter w:w="1350" w:type="dxa"/>
          <w:trHeight w:val="270" w:hRule="atLeast"/>
        </w:trPr>
        <w:tc>
          <w:tcPr>
            <w:tcW w:w="268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B41190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11107" w:type="dxa"/>
            <w:gridSpan w:val="34"/>
            <w:tcBorders>
              <w:top w:val="single" w:color="000000" w:sz="4" w:space="0"/>
              <w:left w:val="single" w:color="000000" w:sz="4" w:space="0"/>
              <w:bottom w:val="single" w:color="000000" w:sz="4" w:space="0"/>
              <w:right w:val="single" w:color="000000" w:sz="4" w:space="0"/>
            </w:tcBorders>
            <w:shd w:val="clear" w:color="auto" w:fill="auto"/>
            <w:vAlign w:val="center"/>
          </w:tcPr>
          <w:p w14:paraId="4EC37D73">
            <w:pPr>
              <w:keepNext w:val="0"/>
              <w:keepLines w:val="0"/>
              <w:widowControl/>
              <w:suppressLineNumbers w:val="0"/>
              <w:jc w:val="left"/>
              <w:textAlignment w:val="center"/>
              <w:rPr>
                <w:rFonts w:hint="default" w:ascii="宋体" w:hAnsi="宋体" w:eastAsia="宋体" w:cs="宋体"/>
                <w:i w:val="0"/>
                <w:iCs w:val="0"/>
                <w:color w:val="000000"/>
                <w:sz w:val="18"/>
                <w:szCs w:val="18"/>
                <w:u w:val="none"/>
                <w:lang w:val="en-US"/>
              </w:rPr>
            </w:pPr>
            <w:r>
              <w:rPr>
                <w:rFonts w:ascii="宋体" w:hAnsi="宋体" w:eastAsia="宋体" w:cs="宋体"/>
                <w:i w:val="0"/>
                <w:iCs w:val="0"/>
                <w:color w:val="000000"/>
                <w:kern w:val="0"/>
                <w:sz w:val="18"/>
                <w:szCs w:val="18"/>
                <w:u w:val="none"/>
                <w:lang w:val="en-US" w:eastAsia="zh-CN" w:bidi="ar"/>
              </w:rPr>
              <w:t>培训</w:t>
            </w:r>
            <w:r>
              <w:rPr>
                <w:rFonts w:hint="eastAsia" w:ascii="宋体" w:hAnsi="宋体" w:eastAsia="宋体" w:cs="宋体"/>
                <w:i w:val="0"/>
                <w:iCs w:val="0"/>
                <w:color w:val="000000"/>
                <w:kern w:val="0"/>
                <w:sz w:val="18"/>
                <w:szCs w:val="18"/>
                <w:u w:val="none"/>
                <w:lang w:val="en-US" w:eastAsia="zh-CN" w:bidi="ar"/>
              </w:rPr>
              <w:t>费</w:t>
            </w:r>
          </w:p>
        </w:tc>
      </w:tr>
      <w:tr w14:paraId="2CD578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4"/>
          <w:wAfter w:w="1350" w:type="dxa"/>
          <w:trHeight w:val="450" w:hRule="atLeast"/>
        </w:trPr>
        <w:tc>
          <w:tcPr>
            <w:tcW w:w="268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80C6D5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6791" w:type="dxa"/>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16CA2F9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市政法委</w:t>
            </w:r>
          </w:p>
        </w:tc>
        <w:tc>
          <w:tcPr>
            <w:tcW w:w="1079" w:type="dxa"/>
            <w:gridSpan w:val="5"/>
            <w:tcBorders>
              <w:top w:val="nil"/>
              <w:left w:val="nil"/>
              <w:bottom w:val="nil"/>
              <w:right w:val="nil"/>
            </w:tcBorders>
            <w:shd w:val="clear" w:color="auto" w:fill="auto"/>
            <w:vAlign w:val="center"/>
          </w:tcPr>
          <w:p w14:paraId="4C18D3D7">
            <w:pPr>
              <w:keepNext w:val="0"/>
              <w:keepLines w:val="0"/>
              <w:widowControl/>
              <w:suppressLineNumbers w:val="0"/>
              <w:jc w:val="left"/>
              <w:textAlignment w:val="center"/>
              <w:rPr>
                <w:rFonts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237"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31BEBC00">
            <w:pPr>
              <w:jc w:val="center"/>
              <w:rPr>
                <w:rFonts w:hint="eastAsia" w:ascii="宋体" w:hAnsi="宋体" w:eastAsia="宋体" w:cs="宋体"/>
                <w:i w:val="0"/>
                <w:iCs w:val="0"/>
                <w:color w:val="000000"/>
                <w:sz w:val="18"/>
                <w:szCs w:val="18"/>
                <w:u w:val="none"/>
              </w:rPr>
            </w:pPr>
          </w:p>
        </w:tc>
      </w:tr>
      <w:tr w14:paraId="63CC13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4"/>
          <w:wAfter w:w="1350" w:type="dxa"/>
          <w:trHeight w:val="270" w:hRule="atLeast"/>
        </w:trPr>
        <w:tc>
          <w:tcPr>
            <w:tcW w:w="1079"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BD3E4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160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E029C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6791" w:type="dxa"/>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40E2E0E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316" w:type="dxa"/>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023F6DA9">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706757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4"/>
          <w:wAfter w:w="1350" w:type="dxa"/>
          <w:trHeight w:val="940" w:hRule="atLeast"/>
        </w:trPr>
        <w:tc>
          <w:tcPr>
            <w:tcW w:w="107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EE3768">
            <w:pPr>
              <w:rPr>
                <w:rFonts w:hint="eastAsia" w:ascii="宋体" w:hAnsi="宋体" w:eastAsia="宋体" w:cs="宋体"/>
                <w:i w:val="0"/>
                <w:iCs w:val="0"/>
                <w:color w:val="000000"/>
                <w:sz w:val="18"/>
                <w:szCs w:val="18"/>
                <w:u w:val="none"/>
              </w:rPr>
            </w:pPr>
          </w:p>
        </w:tc>
        <w:tc>
          <w:tcPr>
            <w:tcW w:w="160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3E5DD3">
            <w:pPr>
              <w:rPr>
                <w:rFonts w:hint="eastAsia" w:ascii="宋体" w:hAnsi="宋体" w:eastAsia="宋体" w:cs="宋体"/>
                <w:i w:val="0"/>
                <w:iCs w:val="0"/>
                <w:color w:val="000000"/>
                <w:sz w:val="18"/>
                <w:szCs w:val="18"/>
                <w:u w:val="none"/>
              </w:rPr>
            </w:pPr>
          </w:p>
        </w:tc>
        <w:tc>
          <w:tcPr>
            <w:tcW w:w="6791" w:type="dxa"/>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05A1229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提升领导干部风险防控、突发事件处置、跨部门协同能力。提升网格员矛盾纠纷排查、安全隐患上报、重点人群服务管理等实务能力。培养基层骨干在矛盾调解、信访维稳、重点人群管理。对以下人员进行相关培训费用。</w:t>
            </w:r>
          </w:p>
        </w:tc>
        <w:tc>
          <w:tcPr>
            <w:tcW w:w="4316" w:type="dxa"/>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5FEEEB75">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2024年我委完成了三次培训任务：基层社会治理网格化服务管理示范培训费、市政法领导学习研讨班培训费、泸州乡镇（街道）政法委员及社会治理骨干培训班。</w:t>
            </w:r>
          </w:p>
        </w:tc>
      </w:tr>
      <w:tr w14:paraId="2605D7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4"/>
          <w:wAfter w:w="1350" w:type="dxa"/>
          <w:trHeight w:val="450" w:hRule="atLeast"/>
        </w:trPr>
        <w:tc>
          <w:tcPr>
            <w:tcW w:w="107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3177D4">
            <w:pPr>
              <w:rPr>
                <w:rFonts w:hint="eastAsia" w:ascii="宋体" w:hAnsi="宋体" w:eastAsia="宋体" w:cs="宋体"/>
                <w:i w:val="0"/>
                <w:iCs w:val="0"/>
                <w:color w:val="000000"/>
                <w:sz w:val="18"/>
                <w:szCs w:val="18"/>
                <w:u w:val="none"/>
              </w:rPr>
            </w:pPr>
          </w:p>
        </w:tc>
        <w:tc>
          <w:tcPr>
            <w:tcW w:w="16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B3EA5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11107" w:type="dxa"/>
            <w:gridSpan w:val="34"/>
            <w:tcBorders>
              <w:top w:val="single" w:color="000000" w:sz="4" w:space="0"/>
              <w:left w:val="single" w:color="000000" w:sz="4" w:space="0"/>
              <w:bottom w:val="single" w:color="000000" w:sz="4" w:space="0"/>
              <w:right w:val="single" w:color="000000" w:sz="4" w:space="0"/>
            </w:tcBorders>
            <w:shd w:val="clear" w:color="auto" w:fill="auto"/>
            <w:vAlign w:val="center"/>
          </w:tcPr>
          <w:p w14:paraId="165067E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针对不同层级的培训对象设计差异化课程。结合泸州本地案例，强化实操能力。三次培训均包含考核评估环节，确保培训实效。</w:t>
            </w:r>
          </w:p>
        </w:tc>
      </w:tr>
      <w:tr w14:paraId="059B9C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4"/>
          <w:wAfter w:w="1350" w:type="dxa"/>
          <w:trHeight w:val="450" w:hRule="atLeast"/>
        </w:trPr>
        <w:tc>
          <w:tcPr>
            <w:tcW w:w="1079"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17B2B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16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1D86C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107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AFAD6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24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CF650A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3237"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306405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C1B5D7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107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025CD5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EFA1F3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EE7FDC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0F0673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4"/>
          <w:wAfter w:w="1350" w:type="dxa"/>
          <w:trHeight w:val="270" w:hRule="atLeast"/>
        </w:trPr>
        <w:tc>
          <w:tcPr>
            <w:tcW w:w="107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AD6726">
            <w:pPr>
              <w:jc w:val="center"/>
              <w:rPr>
                <w:rFonts w:hint="eastAsia" w:ascii="宋体" w:hAnsi="宋体" w:eastAsia="宋体" w:cs="宋体"/>
                <w:i w:val="0"/>
                <w:iCs w:val="0"/>
                <w:color w:val="000000"/>
                <w:sz w:val="18"/>
                <w:szCs w:val="18"/>
                <w:u w:val="none"/>
              </w:rPr>
            </w:pPr>
          </w:p>
        </w:tc>
        <w:tc>
          <w:tcPr>
            <w:tcW w:w="16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2FC7E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107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CA5B82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40.00</w:t>
            </w:r>
          </w:p>
        </w:tc>
        <w:tc>
          <w:tcPr>
            <w:tcW w:w="24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6F138F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40.00</w:t>
            </w:r>
          </w:p>
        </w:tc>
        <w:tc>
          <w:tcPr>
            <w:tcW w:w="3237"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1BA09F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40.00</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FFE4EC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107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76B1B3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114A41A">
            <w:pPr>
              <w:jc w:val="center"/>
              <w:rPr>
                <w:rFonts w:hint="eastAsia" w:ascii="宋体" w:hAnsi="宋体" w:eastAsia="宋体" w:cs="宋体"/>
                <w:i w:val="0"/>
                <w:iCs w:val="0"/>
                <w:color w:val="000000"/>
                <w:sz w:val="18"/>
                <w:szCs w:val="18"/>
                <w:u w:val="none"/>
              </w:rPr>
            </w:pPr>
          </w:p>
        </w:tc>
        <w:tc>
          <w:tcPr>
            <w:tcW w:w="1079"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C1D0EE">
            <w:pPr>
              <w:rPr>
                <w:rFonts w:hint="eastAsia" w:ascii="黑体" w:hAnsi="黑体" w:eastAsia="黑体" w:cs="黑体"/>
                <w:i/>
                <w:iCs/>
                <w:color w:val="000000"/>
                <w:sz w:val="18"/>
                <w:szCs w:val="18"/>
                <w:u w:val="none"/>
              </w:rPr>
            </w:pPr>
          </w:p>
        </w:tc>
      </w:tr>
      <w:tr w14:paraId="399517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4"/>
          <w:wAfter w:w="1350" w:type="dxa"/>
          <w:trHeight w:val="270" w:hRule="atLeast"/>
        </w:trPr>
        <w:tc>
          <w:tcPr>
            <w:tcW w:w="107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FF0509">
            <w:pPr>
              <w:jc w:val="center"/>
              <w:rPr>
                <w:rFonts w:hint="eastAsia" w:ascii="宋体" w:hAnsi="宋体" w:eastAsia="宋体" w:cs="宋体"/>
                <w:i w:val="0"/>
                <w:iCs w:val="0"/>
                <w:color w:val="000000"/>
                <w:sz w:val="18"/>
                <w:szCs w:val="18"/>
                <w:u w:val="none"/>
              </w:rPr>
            </w:pPr>
          </w:p>
        </w:tc>
        <w:tc>
          <w:tcPr>
            <w:tcW w:w="16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C3230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107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2D4E09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40.00</w:t>
            </w:r>
          </w:p>
        </w:tc>
        <w:tc>
          <w:tcPr>
            <w:tcW w:w="24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9FFC8B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40.00</w:t>
            </w:r>
          </w:p>
        </w:tc>
        <w:tc>
          <w:tcPr>
            <w:tcW w:w="3237"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F8A32F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40.00</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3C42B3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107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93270C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95911B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7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B16AD8">
            <w:pPr>
              <w:rPr>
                <w:rFonts w:hint="eastAsia" w:ascii="黑体" w:hAnsi="黑体" w:eastAsia="黑体" w:cs="黑体"/>
                <w:i/>
                <w:iCs/>
                <w:color w:val="000000"/>
                <w:sz w:val="18"/>
                <w:szCs w:val="18"/>
                <w:u w:val="none"/>
              </w:rPr>
            </w:pPr>
          </w:p>
        </w:tc>
      </w:tr>
      <w:tr w14:paraId="164EF7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4"/>
          <w:wAfter w:w="1350" w:type="dxa"/>
          <w:trHeight w:val="270" w:hRule="atLeast"/>
        </w:trPr>
        <w:tc>
          <w:tcPr>
            <w:tcW w:w="107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3F414D">
            <w:pPr>
              <w:jc w:val="center"/>
              <w:rPr>
                <w:rFonts w:hint="eastAsia" w:ascii="宋体" w:hAnsi="宋体" w:eastAsia="宋体" w:cs="宋体"/>
                <w:i w:val="0"/>
                <w:iCs w:val="0"/>
                <w:color w:val="000000"/>
                <w:sz w:val="18"/>
                <w:szCs w:val="18"/>
                <w:u w:val="none"/>
              </w:rPr>
            </w:pPr>
          </w:p>
        </w:tc>
        <w:tc>
          <w:tcPr>
            <w:tcW w:w="16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647CE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107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B6A0B0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26582E1">
            <w:pPr>
              <w:jc w:val="center"/>
              <w:rPr>
                <w:rFonts w:hint="eastAsia" w:ascii="宋体" w:hAnsi="宋体" w:eastAsia="宋体" w:cs="宋体"/>
                <w:i w:val="0"/>
                <w:iCs w:val="0"/>
                <w:color w:val="000000"/>
                <w:sz w:val="18"/>
                <w:szCs w:val="18"/>
                <w:u w:val="none"/>
              </w:rPr>
            </w:pPr>
          </w:p>
        </w:tc>
        <w:tc>
          <w:tcPr>
            <w:tcW w:w="3237"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8812685">
            <w:pPr>
              <w:jc w:val="center"/>
              <w:rPr>
                <w:rFonts w:hint="eastAsia" w:ascii="宋体" w:hAnsi="宋体" w:eastAsia="宋体" w:cs="宋体"/>
                <w:i w:val="0"/>
                <w:iCs w:val="0"/>
                <w:color w:val="000000"/>
                <w:sz w:val="18"/>
                <w:szCs w:val="18"/>
                <w:u w:val="none"/>
              </w:rPr>
            </w:pP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105AC2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7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1BAF0B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4254A7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7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6D1A96">
            <w:pPr>
              <w:rPr>
                <w:rFonts w:hint="eastAsia" w:ascii="黑体" w:hAnsi="黑体" w:eastAsia="黑体" w:cs="黑体"/>
                <w:i/>
                <w:iCs/>
                <w:color w:val="000000"/>
                <w:sz w:val="18"/>
                <w:szCs w:val="18"/>
                <w:u w:val="none"/>
              </w:rPr>
            </w:pPr>
          </w:p>
        </w:tc>
      </w:tr>
      <w:tr w14:paraId="4354FA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4"/>
          <w:wAfter w:w="1350" w:type="dxa"/>
          <w:trHeight w:val="270" w:hRule="atLeast"/>
        </w:trPr>
        <w:tc>
          <w:tcPr>
            <w:tcW w:w="107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92B6C7">
            <w:pPr>
              <w:jc w:val="center"/>
              <w:rPr>
                <w:rFonts w:hint="eastAsia" w:ascii="宋体" w:hAnsi="宋体" w:eastAsia="宋体" w:cs="宋体"/>
                <w:i w:val="0"/>
                <w:iCs w:val="0"/>
                <w:color w:val="000000"/>
                <w:sz w:val="18"/>
                <w:szCs w:val="18"/>
                <w:u w:val="none"/>
              </w:rPr>
            </w:pPr>
          </w:p>
        </w:tc>
        <w:tc>
          <w:tcPr>
            <w:tcW w:w="16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5EA86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107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05D6BE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297FA4C">
            <w:pPr>
              <w:jc w:val="center"/>
              <w:rPr>
                <w:rFonts w:hint="eastAsia" w:ascii="宋体" w:hAnsi="宋体" w:eastAsia="宋体" w:cs="宋体"/>
                <w:i w:val="0"/>
                <w:iCs w:val="0"/>
                <w:color w:val="000000"/>
                <w:sz w:val="18"/>
                <w:szCs w:val="18"/>
                <w:u w:val="none"/>
              </w:rPr>
            </w:pPr>
          </w:p>
        </w:tc>
        <w:tc>
          <w:tcPr>
            <w:tcW w:w="3237"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23D3A20">
            <w:pPr>
              <w:jc w:val="center"/>
              <w:rPr>
                <w:rFonts w:hint="eastAsia" w:ascii="宋体" w:hAnsi="宋体" w:eastAsia="宋体" w:cs="宋体"/>
                <w:i w:val="0"/>
                <w:iCs w:val="0"/>
                <w:color w:val="000000"/>
                <w:sz w:val="18"/>
                <w:szCs w:val="18"/>
                <w:u w:val="none"/>
              </w:rPr>
            </w:pP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C3F2E1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7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6DBD7E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53CB0C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7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3E7BB6">
            <w:pPr>
              <w:rPr>
                <w:rFonts w:hint="eastAsia" w:ascii="黑体" w:hAnsi="黑体" w:eastAsia="黑体" w:cs="黑体"/>
                <w:i/>
                <w:iCs/>
                <w:color w:val="000000"/>
                <w:sz w:val="18"/>
                <w:szCs w:val="18"/>
                <w:u w:val="none"/>
              </w:rPr>
            </w:pPr>
          </w:p>
        </w:tc>
      </w:tr>
      <w:tr w14:paraId="2CC68A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4"/>
          <w:wAfter w:w="1350" w:type="dxa"/>
          <w:trHeight w:val="270" w:hRule="atLeast"/>
        </w:trPr>
        <w:tc>
          <w:tcPr>
            <w:tcW w:w="107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AA4044">
            <w:pPr>
              <w:jc w:val="center"/>
              <w:rPr>
                <w:rFonts w:hint="eastAsia" w:ascii="宋体" w:hAnsi="宋体" w:eastAsia="宋体" w:cs="宋体"/>
                <w:i w:val="0"/>
                <w:iCs w:val="0"/>
                <w:color w:val="000000"/>
                <w:sz w:val="18"/>
                <w:szCs w:val="18"/>
                <w:u w:val="none"/>
              </w:rPr>
            </w:pPr>
          </w:p>
        </w:tc>
        <w:tc>
          <w:tcPr>
            <w:tcW w:w="16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C53B4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107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8C931EF">
            <w:pPr>
              <w:jc w:val="center"/>
              <w:rPr>
                <w:rFonts w:hint="eastAsia" w:ascii="微软雅黑" w:hAnsi="微软雅黑" w:eastAsia="微软雅黑" w:cs="微软雅黑"/>
                <w:i/>
                <w:iCs/>
                <w:color w:val="000000"/>
                <w:sz w:val="16"/>
                <w:szCs w:val="16"/>
                <w:u w:val="none"/>
              </w:rPr>
            </w:pPr>
          </w:p>
        </w:tc>
        <w:tc>
          <w:tcPr>
            <w:tcW w:w="24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20D6F5A">
            <w:pPr>
              <w:jc w:val="center"/>
              <w:rPr>
                <w:rFonts w:hint="eastAsia" w:ascii="微软雅黑" w:hAnsi="微软雅黑" w:eastAsia="微软雅黑" w:cs="微软雅黑"/>
                <w:i/>
                <w:iCs/>
                <w:color w:val="000000"/>
                <w:sz w:val="16"/>
                <w:szCs w:val="16"/>
                <w:u w:val="none"/>
              </w:rPr>
            </w:pPr>
          </w:p>
        </w:tc>
        <w:tc>
          <w:tcPr>
            <w:tcW w:w="3237"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CFD1AFE">
            <w:pPr>
              <w:jc w:val="center"/>
              <w:rPr>
                <w:rFonts w:hint="eastAsia" w:ascii="微软雅黑" w:hAnsi="微软雅黑" w:eastAsia="微软雅黑" w:cs="微软雅黑"/>
                <w:i/>
                <w:iCs/>
                <w:color w:val="000000"/>
                <w:sz w:val="16"/>
                <w:szCs w:val="16"/>
                <w:u w:val="none"/>
              </w:rPr>
            </w:pP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CF4E427">
            <w:pPr>
              <w:jc w:val="center"/>
              <w:rPr>
                <w:rFonts w:hint="eastAsia" w:ascii="微软雅黑" w:hAnsi="微软雅黑" w:eastAsia="微软雅黑" w:cs="微软雅黑"/>
                <w:i/>
                <w:iCs/>
                <w:color w:val="000000"/>
                <w:sz w:val="16"/>
                <w:szCs w:val="16"/>
                <w:u w:val="none"/>
              </w:rPr>
            </w:pPr>
          </w:p>
        </w:tc>
        <w:tc>
          <w:tcPr>
            <w:tcW w:w="107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28E6FB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30FD1E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7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0906ED">
            <w:pPr>
              <w:rPr>
                <w:rFonts w:hint="eastAsia" w:ascii="黑体" w:hAnsi="黑体" w:eastAsia="黑体" w:cs="黑体"/>
                <w:i/>
                <w:iCs/>
                <w:color w:val="000000"/>
                <w:sz w:val="18"/>
                <w:szCs w:val="18"/>
                <w:u w:val="none"/>
              </w:rPr>
            </w:pPr>
          </w:p>
        </w:tc>
      </w:tr>
      <w:tr w14:paraId="60194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4"/>
          <w:wAfter w:w="1350" w:type="dxa"/>
          <w:trHeight w:val="450" w:hRule="atLeast"/>
        </w:trPr>
        <w:tc>
          <w:tcPr>
            <w:tcW w:w="1079"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6D131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16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5679C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107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2FFFA7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24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F30DE0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10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F30C5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41E3C9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503693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88B0A4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107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459E38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08F67D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EC5488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728C98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4"/>
          <w:wAfter w:w="1350" w:type="dxa"/>
          <w:trHeight w:val="270" w:hRule="atLeast"/>
        </w:trPr>
        <w:tc>
          <w:tcPr>
            <w:tcW w:w="107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A6F095">
            <w:pPr>
              <w:jc w:val="center"/>
              <w:rPr>
                <w:rFonts w:hint="eastAsia" w:ascii="宋体" w:hAnsi="宋体" w:eastAsia="宋体" w:cs="宋体"/>
                <w:i w:val="0"/>
                <w:iCs w:val="0"/>
                <w:color w:val="000000"/>
                <w:sz w:val="18"/>
                <w:szCs w:val="18"/>
                <w:u w:val="none"/>
              </w:rPr>
            </w:pPr>
          </w:p>
        </w:tc>
        <w:tc>
          <w:tcPr>
            <w:tcW w:w="16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D3446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产出指标</w:t>
            </w:r>
          </w:p>
        </w:tc>
        <w:tc>
          <w:tcPr>
            <w:tcW w:w="1079"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F9F7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数量指标</w:t>
            </w:r>
          </w:p>
        </w:tc>
        <w:tc>
          <w:tcPr>
            <w:tcW w:w="24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DD1E3A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每年培训批次</w:t>
            </w:r>
          </w:p>
        </w:tc>
        <w:tc>
          <w:tcPr>
            <w:tcW w:w="107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B6A3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E39A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0BFE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次</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D3A8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w:t>
            </w:r>
          </w:p>
        </w:tc>
        <w:tc>
          <w:tcPr>
            <w:tcW w:w="1079"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6A7E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15</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4D2833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16</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4AFA64B">
            <w:pPr>
              <w:jc w:val="center"/>
              <w:rPr>
                <w:rFonts w:hint="eastAsia" w:ascii="宋体" w:hAnsi="宋体" w:eastAsia="宋体" w:cs="宋体"/>
                <w:i w:val="0"/>
                <w:iCs w:val="0"/>
                <w:color w:val="000000"/>
                <w:sz w:val="18"/>
                <w:szCs w:val="18"/>
                <w:u w:val="none"/>
              </w:rPr>
            </w:pPr>
          </w:p>
        </w:tc>
      </w:tr>
      <w:tr w14:paraId="21F07D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4"/>
          <w:wAfter w:w="1350" w:type="dxa"/>
          <w:trHeight w:val="270" w:hRule="atLeast"/>
        </w:trPr>
        <w:tc>
          <w:tcPr>
            <w:tcW w:w="107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CDD697">
            <w:pPr>
              <w:jc w:val="center"/>
              <w:rPr>
                <w:rFonts w:hint="eastAsia" w:ascii="宋体" w:hAnsi="宋体" w:eastAsia="宋体" w:cs="宋体"/>
                <w:i w:val="0"/>
                <w:iCs w:val="0"/>
                <w:color w:val="000000"/>
                <w:sz w:val="18"/>
                <w:szCs w:val="18"/>
                <w:u w:val="none"/>
              </w:rPr>
            </w:pPr>
          </w:p>
        </w:tc>
        <w:tc>
          <w:tcPr>
            <w:tcW w:w="16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511DF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产出指标</w:t>
            </w:r>
          </w:p>
        </w:tc>
        <w:tc>
          <w:tcPr>
            <w:tcW w:w="1079"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7D32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质量指标</w:t>
            </w:r>
          </w:p>
        </w:tc>
        <w:tc>
          <w:tcPr>
            <w:tcW w:w="24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E92A0B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每期合格率</w:t>
            </w:r>
          </w:p>
        </w:tc>
        <w:tc>
          <w:tcPr>
            <w:tcW w:w="107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122E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63B2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95</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63FF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08A1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95</w:t>
            </w:r>
          </w:p>
        </w:tc>
        <w:tc>
          <w:tcPr>
            <w:tcW w:w="1079"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7EFB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15</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37E4AE6">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16</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2C44762">
            <w:pPr>
              <w:jc w:val="center"/>
              <w:rPr>
                <w:rFonts w:hint="eastAsia" w:ascii="宋体" w:hAnsi="宋体" w:eastAsia="宋体" w:cs="宋体"/>
                <w:i w:val="0"/>
                <w:iCs w:val="0"/>
                <w:color w:val="000000"/>
                <w:sz w:val="18"/>
                <w:szCs w:val="18"/>
                <w:u w:val="none"/>
              </w:rPr>
            </w:pPr>
          </w:p>
        </w:tc>
      </w:tr>
      <w:tr w14:paraId="78CAD7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4"/>
          <w:wAfter w:w="1350" w:type="dxa"/>
          <w:trHeight w:val="270" w:hRule="atLeast"/>
        </w:trPr>
        <w:tc>
          <w:tcPr>
            <w:tcW w:w="107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9F51D6">
            <w:pPr>
              <w:jc w:val="center"/>
              <w:rPr>
                <w:rFonts w:hint="eastAsia" w:ascii="宋体" w:hAnsi="宋体" w:eastAsia="宋体" w:cs="宋体"/>
                <w:i w:val="0"/>
                <w:iCs w:val="0"/>
                <w:color w:val="000000"/>
                <w:sz w:val="18"/>
                <w:szCs w:val="18"/>
                <w:u w:val="none"/>
              </w:rPr>
            </w:pPr>
          </w:p>
        </w:tc>
        <w:tc>
          <w:tcPr>
            <w:tcW w:w="16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06061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产出指标</w:t>
            </w:r>
          </w:p>
        </w:tc>
        <w:tc>
          <w:tcPr>
            <w:tcW w:w="107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4BDF51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经济成本指标</w:t>
            </w:r>
          </w:p>
        </w:tc>
        <w:tc>
          <w:tcPr>
            <w:tcW w:w="24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721080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全年培训费</w:t>
            </w:r>
          </w:p>
        </w:tc>
        <w:tc>
          <w:tcPr>
            <w:tcW w:w="107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4A96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E524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5C67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685D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79"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AA7A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11FDBC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805B122">
            <w:pPr>
              <w:jc w:val="center"/>
              <w:rPr>
                <w:rFonts w:hint="eastAsia" w:ascii="宋体" w:hAnsi="宋体" w:eastAsia="宋体" w:cs="宋体"/>
                <w:i w:val="0"/>
                <w:iCs w:val="0"/>
                <w:color w:val="000000"/>
                <w:sz w:val="18"/>
                <w:szCs w:val="18"/>
                <w:u w:val="none"/>
              </w:rPr>
            </w:pPr>
          </w:p>
        </w:tc>
      </w:tr>
      <w:tr w14:paraId="02B6C1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4"/>
          <w:wAfter w:w="1350" w:type="dxa"/>
          <w:trHeight w:val="270" w:hRule="atLeast"/>
        </w:trPr>
        <w:tc>
          <w:tcPr>
            <w:tcW w:w="107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189169">
            <w:pPr>
              <w:jc w:val="center"/>
              <w:rPr>
                <w:rFonts w:hint="eastAsia" w:ascii="宋体" w:hAnsi="宋体" w:eastAsia="宋体" w:cs="宋体"/>
                <w:i w:val="0"/>
                <w:iCs w:val="0"/>
                <w:color w:val="000000"/>
                <w:sz w:val="18"/>
                <w:szCs w:val="18"/>
                <w:u w:val="none"/>
              </w:rPr>
            </w:pPr>
          </w:p>
        </w:tc>
        <w:tc>
          <w:tcPr>
            <w:tcW w:w="16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5DF8E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产出指标</w:t>
            </w:r>
          </w:p>
        </w:tc>
        <w:tc>
          <w:tcPr>
            <w:tcW w:w="107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E41324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时效指标</w:t>
            </w:r>
          </w:p>
        </w:tc>
        <w:tc>
          <w:tcPr>
            <w:tcW w:w="24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8335C5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培训完成时间</w:t>
            </w:r>
          </w:p>
        </w:tc>
        <w:tc>
          <w:tcPr>
            <w:tcW w:w="107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EDCA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定性</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E837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优</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425CD">
            <w:pPr>
              <w:jc w:val="center"/>
              <w:rPr>
                <w:rFonts w:hint="eastAsia" w:ascii="宋体" w:hAnsi="宋体" w:eastAsia="宋体" w:cs="宋体"/>
                <w:i w:val="0"/>
                <w:iCs w:val="0"/>
                <w:color w:val="000000"/>
                <w:sz w:val="16"/>
                <w:szCs w:val="16"/>
                <w:u w:val="none"/>
              </w:rPr>
            </w:pP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0406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优</w:t>
            </w:r>
          </w:p>
        </w:tc>
        <w:tc>
          <w:tcPr>
            <w:tcW w:w="1079"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7CB9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29A21A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21</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7DA0BB0">
            <w:pPr>
              <w:jc w:val="center"/>
              <w:rPr>
                <w:rFonts w:hint="eastAsia" w:ascii="宋体" w:hAnsi="宋体" w:eastAsia="宋体" w:cs="宋体"/>
                <w:i w:val="0"/>
                <w:iCs w:val="0"/>
                <w:color w:val="000000"/>
                <w:sz w:val="18"/>
                <w:szCs w:val="18"/>
                <w:u w:val="none"/>
              </w:rPr>
            </w:pPr>
          </w:p>
        </w:tc>
      </w:tr>
      <w:tr w14:paraId="557169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4"/>
          <w:wAfter w:w="1350" w:type="dxa"/>
          <w:trHeight w:val="420" w:hRule="atLeast"/>
        </w:trPr>
        <w:tc>
          <w:tcPr>
            <w:tcW w:w="107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5D9FC6">
            <w:pPr>
              <w:jc w:val="center"/>
              <w:rPr>
                <w:rFonts w:hint="eastAsia" w:ascii="宋体" w:hAnsi="宋体" w:eastAsia="宋体" w:cs="宋体"/>
                <w:i w:val="0"/>
                <w:iCs w:val="0"/>
                <w:color w:val="000000"/>
                <w:sz w:val="18"/>
                <w:szCs w:val="18"/>
                <w:u w:val="none"/>
              </w:rPr>
            </w:pPr>
          </w:p>
        </w:tc>
        <w:tc>
          <w:tcPr>
            <w:tcW w:w="16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089AE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产出指标</w:t>
            </w:r>
          </w:p>
        </w:tc>
        <w:tc>
          <w:tcPr>
            <w:tcW w:w="107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A62AA8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社会效益指标</w:t>
            </w:r>
          </w:p>
        </w:tc>
        <w:tc>
          <w:tcPr>
            <w:tcW w:w="24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5499F5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每年政法系统履职和服务效率</w:t>
            </w:r>
          </w:p>
        </w:tc>
        <w:tc>
          <w:tcPr>
            <w:tcW w:w="107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0A6E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8BE5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90</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3D4B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B808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90</w:t>
            </w:r>
          </w:p>
        </w:tc>
        <w:tc>
          <w:tcPr>
            <w:tcW w:w="1079"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40F8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638BCF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11</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57B00EF">
            <w:pPr>
              <w:jc w:val="center"/>
              <w:rPr>
                <w:rFonts w:hint="eastAsia" w:ascii="宋体" w:hAnsi="宋体" w:eastAsia="宋体" w:cs="宋体"/>
                <w:i w:val="0"/>
                <w:iCs w:val="0"/>
                <w:color w:val="000000"/>
                <w:sz w:val="18"/>
                <w:szCs w:val="18"/>
                <w:u w:val="none"/>
              </w:rPr>
            </w:pPr>
          </w:p>
        </w:tc>
      </w:tr>
      <w:tr w14:paraId="0E8825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4"/>
          <w:wAfter w:w="1350" w:type="dxa"/>
          <w:trHeight w:val="270" w:hRule="atLeast"/>
        </w:trPr>
        <w:tc>
          <w:tcPr>
            <w:tcW w:w="107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0DF2B5">
            <w:pPr>
              <w:jc w:val="center"/>
              <w:rPr>
                <w:rFonts w:hint="eastAsia" w:ascii="宋体" w:hAnsi="宋体" w:eastAsia="宋体" w:cs="宋体"/>
                <w:i w:val="0"/>
                <w:iCs w:val="0"/>
                <w:color w:val="000000"/>
                <w:sz w:val="18"/>
                <w:szCs w:val="18"/>
                <w:u w:val="none"/>
              </w:rPr>
            </w:pPr>
          </w:p>
        </w:tc>
        <w:tc>
          <w:tcPr>
            <w:tcW w:w="16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9B829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效益指标</w:t>
            </w:r>
          </w:p>
        </w:tc>
        <w:tc>
          <w:tcPr>
            <w:tcW w:w="107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304638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p>
        </w:tc>
        <w:tc>
          <w:tcPr>
            <w:tcW w:w="24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29E521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每期培训干部满意度</w:t>
            </w:r>
          </w:p>
        </w:tc>
        <w:tc>
          <w:tcPr>
            <w:tcW w:w="107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49BB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8F2D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40</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DDBC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万元</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D458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40</w:t>
            </w:r>
          </w:p>
        </w:tc>
        <w:tc>
          <w:tcPr>
            <w:tcW w:w="1079"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EC8E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0F0499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21</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32BF2CF">
            <w:pPr>
              <w:jc w:val="center"/>
              <w:rPr>
                <w:rFonts w:hint="eastAsia" w:ascii="宋体" w:hAnsi="宋体" w:eastAsia="宋体" w:cs="宋体"/>
                <w:i w:val="0"/>
                <w:iCs w:val="0"/>
                <w:color w:val="000000"/>
                <w:sz w:val="18"/>
                <w:szCs w:val="18"/>
                <w:u w:val="none"/>
              </w:rPr>
            </w:pPr>
          </w:p>
        </w:tc>
      </w:tr>
      <w:tr w14:paraId="715C46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4"/>
          <w:wAfter w:w="1350" w:type="dxa"/>
          <w:trHeight w:val="270" w:hRule="atLeast"/>
        </w:trPr>
        <w:tc>
          <w:tcPr>
            <w:tcW w:w="10554" w:type="dxa"/>
            <w:gridSpan w:val="26"/>
            <w:tcBorders>
              <w:top w:val="single" w:color="000000" w:sz="4" w:space="0"/>
              <w:left w:val="single" w:color="000000" w:sz="4" w:space="0"/>
              <w:bottom w:val="single" w:color="000000" w:sz="4" w:space="0"/>
              <w:right w:val="single" w:color="000000" w:sz="4" w:space="0"/>
            </w:tcBorders>
            <w:shd w:val="clear" w:color="auto" w:fill="auto"/>
            <w:vAlign w:val="center"/>
          </w:tcPr>
          <w:p w14:paraId="594B485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107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5265DA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8D8710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9E3C7B0">
            <w:pPr>
              <w:rPr>
                <w:rFonts w:hint="eastAsia" w:ascii="宋体" w:hAnsi="宋体" w:eastAsia="宋体" w:cs="宋体"/>
                <w:i w:val="0"/>
                <w:iCs w:val="0"/>
                <w:color w:val="000000"/>
                <w:sz w:val="18"/>
                <w:szCs w:val="18"/>
                <w:u w:val="none"/>
              </w:rPr>
            </w:pPr>
          </w:p>
        </w:tc>
      </w:tr>
      <w:tr w14:paraId="5F2F70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4"/>
          <w:wAfter w:w="1350" w:type="dxa"/>
          <w:trHeight w:val="500" w:hRule="atLeast"/>
        </w:trPr>
        <w:tc>
          <w:tcPr>
            <w:tcW w:w="10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7279D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12712" w:type="dxa"/>
            <w:gridSpan w:val="36"/>
            <w:tcBorders>
              <w:top w:val="single" w:color="000000" w:sz="4" w:space="0"/>
              <w:left w:val="single" w:color="000000" w:sz="4" w:space="0"/>
              <w:bottom w:val="single" w:color="000000" w:sz="4" w:space="0"/>
              <w:right w:val="single" w:color="000000" w:sz="4" w:space="0"/>
            </w:tcBorders>
            <w:shd w:val="clear" w:color="auto" w:fill="auto"/>
            <w:vAlign w:val="center"/>
          </w:tcPr>
          <w:p w14:paraId="76C02E43">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三次培训均有考核和评价，网格化人员培训，考核结果，差点意思人员100%合格。政法领导干部学习研讨班培训形成了调研报告，3项建议纳入市级政法工作计划。乡镇街道政法委员及社会治理骨干培训班合格率为100%，6人评“标兵”。</w:t>
            </w:r>
          </w:p>
        </w:tc>
      </w:tr>
      <w:tr w14:paraId="04341C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4"/>
          <w:wAfter w:w="1350" w:type="dxa"/>
          <w:trHeight w:val="270" w:hRule="atLeast"/>
        </w:trPr>
        <w:tc>
          <w:tcPr>
            <w:tcW w:w="10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26E5C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12712" w:type="dxa"/>
            <w:gridSpan w:val="36"/>
            <w:tcBorders>
              <w:top w:val="single" w:color="000000" w:sz="4" w:space="0"/>
              <w:left w:val="single" w:color="000000" w:sz="4" w:space="0"/>
              <w:bottom w:val="single" w:color="000000" w:sz="4" w:space="0"/>
              <w:right w:val="single" w:color="000000" w:sz="4" w:space="0"/>
            </w:tcBorders>
            <w:shd w:val="clear" w:color="auto" w:fill="auto"/>
            <w:vAlign w:val="center"/>
          </w:tcPr>
          <w:p w14:paraId="42F9984D">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培训仍以传统课堂讲授为主，情景模拟、跨区域交流等新型方式占比不足。效果换转率不高。</w:t>
            </w:r>
          </w:p>
        </w:tc>
      </w:tr>
      <w:tr w14:paraId="2EE7B0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4"/>
          <w:wAfter w:w="1350" w:type="dxa"/>
          <w:trHeight w:val="270" w:hRule="atLeast"/>
        </w:trPr>
        <w:tc>
          <w:tcPr>
            <w:tcW w:w="10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64D73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12712" w:type="dxa"/>
            <w:gridSpan w:val="36"/>
            <w:tcBorders>
              <w:top w:val="single" w:color="000000" w:sz="4" w:space="0"/>
              <w:left w:val="single" w:color="000000" w:sz="4" w:space="0"/>
              <w:bottom w:val="single" w:color="000000" w:sz="4" w:space="0"/>
              <w:right w:val="single" w:color="000000" w:sz="4" w:space="0"/>
            </w:tcBorders>
            <w:shd w:val="clear" w:color="auto" w:fill="auto"/>
            <w:vAlign w:val="center"/>
          </w:tcPr>
          <w:p w14:paraId="7F13C138">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构建“学、用、评”闭环体系，提升效果转化率。培训后进行回访工作调查培训成果运用情况。</w:t>
            </w:r>
          </w:p>
        </w:tc>
      </w:tr>
      <w:tr w14:paraId="28D22E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4"/>
          <w:wAfter w:w="1350" w:type="dxa"/>
          <w:trHeight w:val="270" w:hRule="atLeast"/>
        </w:trPr>
        <w:tc>
          <w:tcPr>
            <w:tcW w:w="7317"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060C45CB">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项目负责人：熊福英</w:t>
            </w:r>
          </w:p>
        </w:tc>
        <w:tc>
          <w:tcPr>
            <w:tcW w:w="6474" w:type="dxa"/>
            <w:gridSpan w:val="25"/>
            <w:tcBorders>
              <w:top w:val="single" w:color="000000" w:sz="4" w:space="0"/>
              <w:left w:val="single" w:color="000000" w:sz="4" w:space="0"/>
              <w:bottom w:val="single" w:color="000000" w:sz="4" w:space="0"/>
              <w:right w:val="single" w:color="000000" w:sz="4" w:space="0"/>
            </w:tcBorders>
            <w:shd w:val="clear" w:color="auto" w:fill="auto"/>
            <w:vAlign w:val="center"/>
          </w:tcPr>
          <w:p w14:paraId="529C04E5">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财务负责人：王良洪</w:t>
            </w:r>
          </w:p>
        </w:tc>
      </w:tr>
      <w:tr w14:paraId="448F6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4"/>
          <w:wAfter w:w="1350" w:type="dxa"/>
          <w:trHeight w:val="90" w:hRule="atLeast"/>
        </w:trPr>
        <w:tc>
          <w:tcPr>
            <w:tcW w:w="7317" w:type="dxa"/>
            <w:gridSpan w:val="13"/>
            <w:tcBorders>
              <w:top w:val="single" w:color="000000" w:sz="4" w:space="0"/>
              <w:left w:val="nil"/>
              <w:bottom w:val="nil"/>
              <w:right w:val="nil"/>
            </w:tcBorders>
            <w:shd w:val="clear" w:color="auto" w:fill="auto"/>
            <w:vAlign w:val="center"/>
          </w:tcPr>
          <w:p w14:paraId="5A1EE34A">
            <w:pPr>
              <w:keepNext w:val="0"/>
              <w:keepLines w:val="0"/>
              <w:widowControl/>
              <w:suppressLineNumbers w:val="0"/>
              <w:jc w:val="left"/>
              <w:textAlignment w:val="center"/>
              <w:rPr>
                <w:rFonts w:hint="eastAsia" w:ascii="黑体" w:hAnsi="黑体" w:eastAsia="黑体" w:cs="黑体"/>
                <w:i w:val="0"/>
                <w:iCs w:val="0"/>
                <w:color w:val="000000"/>
                <w:kern w:val="0"/>
                <w:sz w:val="18"/>
                <w:szCs w:val="18"/>
                <w:u w:val="none"/>
                <w:lang w:val="en-US" w:eastAsia="zh-CN" w:bidi="ar"/>
              </w:rPr>
            </w:pPr>
          </w:p>
          <w:p w14:paraId="7F821284">
            <w:pPr>
              <w:pStyle w:val="13"/>
              <w:rPr>
                <w:rFonts w:hint="eastAsia" w:ascii="黑体" w:hAnsi="黑体" w:eastAsia="黑体" w:cs="黑体"/>
                <w:i w:val="0"/>
                <w:iCs w:val="0"/>
                <w:color w:val="000000"/>
                <w:kern w:val="0"/>
                <w:sz w:val="18"/>
                <w:szCs w:val="18"/>
                <w:u w:val="none"/>
                <w:lang w:val="en-US" w:eastAsia="zh-CN" w:bidi="ar"/>
              </w:rPr>
            </w:pPr>
          </w:p>
          <w:p w14:paraId="6AF84767">
            <w:pPr>
              <w:pStyle w:val="7"/>
              <w:rPr>
                <w:rFonts w:hint="eastAsia" w:ascii="黑体" w:hAnsi="黑体" w:eastAsia="黑体" w:cs="黑体"/>
                <w:i w:val="0"/>
                <w:iCs w:val="0"/>
                <w:color w:val="000000"/>
                <w:kern w:val="0"/>
                <w:sz w:val="18"/>
                <w:szCs w:val="18"/>
                <w:u w:val="none"/>
                <w:lang w:val="en-US" w:eastAsia="zh-CN" w:bidi="ar"/>
              </w:rPr>
            </w:pPr>
          </w:p>
          <w:p w14:paraId="08E21BD3">
            <w:pPr>
              <w:pStyle w:val="7"/>
              <w:rPr>
                <w:rFonts w:hint="eastAsia" w:ascii="黑体" w:hAnsi="黑体" w:eastAsia="黑体" w:cs="黑体"/>
                <w:i w:val="0"/>
                <w:iCs w:val="0"/>
                <w:color w:val="000000"/>
                <w:kern w:val="0"/>
                <w:sz w:val="18"/>
                <w:szCs w:val="18"/>
                <w:u w:val="none"/>
                <w:lang w:val="en-US" w:eastAsia="zh-CN" w:bidi="ar"/>
              </w:rPr>
            </w:pPr>
          </w:p>
          <w:p w14:paraId="7BCB93F7">
            <w:pPr>
              <w:pStyle w:val="7"/>
              <w:rPr>
                <w:rFonts w:hint="eastAsia" w:ascii="黑体" w:hAnsi="黑体" w:eastAsia="黑体" w:cs="黑体"/>
                <w:i w:val="0"/>
                <w:iCs w:val="0"/>
                <w:color w:val="000000"/>
                <w:kern w:val="0"/>
                <w:sz w:val="18"/>
                <w:szCs w:val="18"/>
                <w:u w:val="none"/>
                <w:lang w:val="en-US" w:eastAsia="zh-CN" w:bidi="ar"/>
              </w:rPr>
            </w:pPr>
          </w:p>
          <w:p w14:paraId="56D07FC0">
            <w:pPr>
              <w:pStyle w:val="7"/>
              <w:rPr>
                <w:rFonts w:hint="eastAsia" w:ascii="黑体" w:hAnsi="黑体" w:eastAsia="黑体" w:cs="黑体"/>
                <w:i w:val="0"/>
                <w:iCs w:val="0"/>
                <w:color w:val="000000"/>
                <w:kern w:val="0"/>
                <w:sz w:val="18"/>
                <w:szCs w:val="18"/>
                <w:u w:val="none"/>
                <w:lang w:val="en-US" w:eastAsia="zh-CN" w:bidi="ar"/>
              </w:rPr>
            </w:pPr>
          </w:p>
          <w:p w14:paraId="12DF9BE6">
            <w:pPr>
              <w:pStyle w:val="7"/>
              <w:rPr>
                <w:rFonts w:hint="eastAsia" w:ascii="黑体" w:hAnsi="黑体" w:eastAsia="黑体" w:cs="黑体"/>
                <w:i w:val="0"/>
                <w:iCs w:val="0"/>
                <w:color w:val="000000"/>
                <w:kern w:val="0"/>
                <w:sz w:val="18"/>
                <w:szCs w:val="18"/>
                <w:u w:val="none"/>
                <w:lang w:val="en-US" w:eastAsia="zh-CN" w:bidi="ar"/>
              </w:rPr>
            </w:pPr>
          </w:p>
          <w:p w14:paraId="4B25EFA1">
            <w:pPr>
              <w:pStyle w:val="7"/>
              <w:rPr>
                <w:rFonts w:hint="eastAsia" w:ascii="黑体" w:hAnsi="黑体" w:eastAsia="黑体" w:cs="黑体"/>
                <w:i w:val="0"/>
                <w:iCs w:val="0"/>
                <w:color w:val="000000"/>
                <w:kern w:val="0"/>
                <w:sz w:val="18"/>
                <w:szCs w:val="18"/>
                <w:u w:val="none"/>
                <w:lang w:val="en-US" w:eastAsia="zh-CN" w:bidi="ar"/>
              </w:rPr>
            </w:pPr>
          </w:p>
          <w:p w14:paraId="1301F07E">
            <w:pPr>
              <w:pStyle w:val="7"/>
              <w:rPr>
                <w:rFonts w:hint="eastAsia" w:ascii="黑体" w:hAnsi="黑体" w:eastAsia="黑体" w:cs="黑体"/>
                <w:i w:val="0"/>
                <w:iCs w:val="0"/>
                <w:color w:val="000000"/>
                <w:kern w:val="0"/>
                <w:sz w:val="18"/>
                <w:szCs w:val="18"/>
                <w:u w:val="none"/>
                <w:lang w:val="en-US" w:eastAsia="zh-CN" w:bidi="ar"/>
              </w:rPr>
            </w:pPr>
          </w:p>
          <w:p w14:paraId="22688C9E">
            <w:pPr>
              <w:pStyle w:val="7"/>
              <w:rPr>
                <w:rFonts w:hint="eastAsia" w:ascii="黑体" w:hAnsi="黑体" w:eastAsia="黑体" w:cs="黑体"/>
                <w:i w:val="0"/>
                <w:iCs w:val="0"/>
                <w:color w:val="000000"/>
                <w:kern w:val="0"/>
                <w:sz w:val="18"/>
                <w:szCs w:val="18"/>
                <w:u w:val="none"/>
                <w:lang w:val="en-US" w:eastAsia="zh-CN" w:bidi="ar"/>
              </w:rPr>
            </w:pPr>
          </w:p>
          <w:p w14:paraId="47038135">
            <w:pPr>
              <w:pStyle w:val="7"/>
              <w:rPr>
                <w:rFonts w:hint="eastAsia" w:ascii="黑体" w:hAnsi="黑体" w:eastAsia="黑体" w:cs="黑体"/>
                <w:i w:val="0"/>
                <w:iCs w:val="0"/>
                <w:color w:val="000000"/>
                <w:kern w:val="0"/>
                <w:sz w:val="18"/>
                <w:szCs w:val="18"/>
                <w:u w:val="none"/>
                <w:lang w:val="en-US" w:eastAsia="zh-CN" w:bidi="ar"/>
              </w:rPr>
            </w:pPr>
          </w:p>
          <w:p w14:paraId="11AAF2F8">
            <w:pPr>
              <w:pStyle w:val="7"/>
              <w:rPr>
                <w:rFonts w:hint="eastAsia" w:ascii="黑体" w:hAnsi="黑体" w:eastAsia="黑体" w:cs="黑体"/>
                <w:i w:val="0"/>
                <w:iCs w:val="0"/>
                <w:color w:val="000000"/>
                <w:kern w:val="0"/>
                <w:sz w:val="18"/>
                <w:szCs w:val="18"/>
                <w:u w:val="none"/>
                <w:lang w:val="en-US" w:eastAsia="zh-CN" w:bidi="ar"/>
              </w:rPr>
            </w:pPr>
          </w:p>
        </w:tc>
        <w:tc>
          <w:tcPr>
            <w:tcW w:w="6474" w:type="dxa"/>
            <w:gridSpan w:val="25"/>
            <w:tcBorders>
              <w:top w:val="single" w:color="000000" w:sz="4" w:space="0"/>
              <w:left w:val="nil"/>
              <w:bottom w:val="nil"/>
              <w:right w:val="nil"/>
            </w:tcBorders>
            <w:shd w:val="clear" w:color="auto" w:fill="auto"/>
            <w:vAlign w:val="center"/>
          </w:tcPr>
          <w:p w14:paraId="40E1D4B7">
            <w:pPr>
              <w:keepNext w:val="0"/>
              <w:keepLines w:val="0"/>
              <w:widowControl/>
              <w:suppressLineNumbers w:val="0"/>
              <w:jc w:val="left"/>
              <w:textAlignment w:val="center"/>
              <w:rPr>
                <w:rFonts w:hint="eastAsia" w:ascii="黑体" w:hAnsi="黑体" w:eastAsia="黑体" w:cs="黑体"/>
                <w:i w:val="0"/>
                <w:iCs w:val="0"/>
                <w:color w:val="000000"/>
                <w:kern w:val="0"/>
                <w:sz w:val="18"/>
                <w:szCs w:val="18"/>
                <w:u w:val="none"/>
                <w:lang w:val="en-US" w:eastAsia="zh-CN" w:bidi="ar"/>
              </w:rPr>
            </w:pPr>
          </w:p>
        </w:tc>
      </w:tr>
      <w:tr w14:paraId="478FDA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494" w:type="dxa"/>
          <w:trHeight w:val="390" w:hRule="atLeast"/>
        </w:trPr>
        <w:tc>
          <w:tcPr>
            <w:tcW w:w="14647" w:type="dxa"/>
            <w:gridSpan w:val="40"/>
            <w:tcBorders>
              <w:top w:val="single" w:color="000000" w:sz="4" w:space="0"/>
              <w:left w:val="single" w:color="000000" w:sz="4" w:space="0"/>
              <w:bottom w:val="single" w:color="000000" w:sz="4" w:space="0"/>
              <w:right w:val="single" w:color="000000" w:sz="4" w:space="0"/>
            </w:tcBorders>
            <w:shd w:val="clear" w:color="auto" w:fill="auto"/>
            <w:vAlign w:val="center"/>
          </w:tcPr>
          <w:p w14:paraId="24E88EEF">
            <w:pPr>
              <w:keepNext w:val="0"/>
              <w:keepLines w:val="0"/>
              <w:widowControl/>
              <w:suppressLineNumbers w:val="0"/>
              <w:jc w:val="center"/>
              <w:textAlignment w:val="center"/>
              <w:rPr>
                <w:rFonts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563D4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494" w:type="dxa"/>
          <w:trHeight w:val="270" w:hRule="atLeast"/>
        </w:trPr>
        <w:tc>
          <w:tcPr>
            <w:tcW w:w="283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6895C1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11813" w:type="dxa"/>
            <w:gridSpan w:val="35"/>
            <w:tcBorders>
              <w:top w:val="single" w:color="000000" w:sz="4" w:space="0"/>
              <w:left w:val="single" w:color="000000" w:sz="4" w:space="0"/>
              <w:bottom w:val="single" w:color="000000" w:sz="4" w:space="0"/>
              <w:right w:val="single" w:color="000000" w:sz="4" w:space="0"/>
            </w:tcBorders>
            <w:shd w:val="clear" w:color="auto" w:fill="auto"/>
            <w:vAlign w:val="center"/>
          </w:tcPr>
          <w:p w14:paraId="2A714F2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平安建设经费</w:t>
            </w:r>
          </w:p>
        </w:tc>
      </w:tr>
      <w:tr w14:paraId="529B61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494" w:type="dxa"/>
          <w:trHeight w:val="450" w:hRule="atLeast"/>
        </w:trPr>
        <w:tc>
          <w:tcPr>
            <w:tcW w:w="283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BCA39F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7497" w:type="dxa"/>
            <w:gridSpan w:val="20"/>
            <w:tcBorders>
              <w:top w:val="single" w:color="000000" w:sz="4" w:space="0"/>
              <w:left w:val="single" w:color="000000" w:sz="4" w:space="0"/>
              <w:bottom w:val="single" w:color="000000" w:sz="4" w:space="0"/>
              <w:right w:val="single" w:color="000000" w:sz="4" w:space="0"/>
            </w:tcBorders>
            <w:shd w:val="clear" w:color="auto" w:fill="auto"/>
            <w:vAlign w:val="center"/>
          </w:tcPr>
          <w:p w14:paraId="16A50DB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市政法委</w:t>
            </w:r>
          </w:p>
        </w:tc>
        <w:tc>
          <w:tcPr>
            <w:tcW w:w="1079" w:type="dxa"/>
            <w:gridSpan w:val="4"/>
            <w:tcBorders>
              <w:top w:val="nil"/>
              <w:left w:val="nil"/>
              <w:bottom w:val="nil"/>
              <w:right w:val="nil"/>
            </w:tcBorders>
            <w:shd w:val="clear" w:color="auto" w:fill="auto"/>
            <w:vAlign w:val="center"/>
          </w:tcPr>
          <w:p w14:paraId="431FA2BE">
            <w:pPr>
              <w:keepNext w:val="0"/>
              <w:keepLines w:val="0"/>
              <w:widowControl/>
              <w:suppressLineNumbers w:val="0"/>
              <w:jc w:val="left"/>
              <w:textAlignment w:val="center"/>
              <w:rPr>
                <w:rFonts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237"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3A4E2CC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中共泸州市委政法委员会</w:t>
            </w:r>
          </w:p>
        </w:tc>
      </w:tr>
      <w:tr w14:paraId="77663E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494" w:type="dxa"/>
          <w:trHeight w:val="270" w:hRule="atLeast"/>
        </w:trPr>
        <w:tc>
          <w:tcPr>
            <w:tcW w:w="1079"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22010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1755"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EE453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7497" w:type="dxa"/>
            <w:gridSpan w:val="20"/>
            <w:tcBorders>
              <w:top w:val="single" w:color="000000" w:sz="4" w:space="0"/>
              <w:left w:val="single" w:color="000000" w:sz="4" w:space="0"/>
              <w:bottom w:val="single" w:color="000000" w:sz="4" w:space="0"/>
              <w:right w:val="single" w:color="000000" w:sz="4" w:space="0"/>
            </w:tcBorders>
            <w:shd w:val="clear" w:color="auto" w:fill="auto"/>
            <w:vAlign w:val="center"/>
          </w:tcPr>
          <w:p w14:paraId="4C5A21A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316"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46C52011">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2A310B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494" w:type="dxa"/>
          <w:trHeight w:val="880" w:hRule="atLeast"/>
        </w:trPr>
        <w:tc>
          <w:tcPr>
            <w:tcW w:w="107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B203E3">
            <w:pPr>
              <w:rPr>
                <w:rFonts w:hint="eastAsia" w:ascii="宋体" w:hAnsi="宋体" w:eastAsia="宋体" w:cs="宋体"/>
                <w:i w:val="0"/>
                <w:iCs w:val="0"/>
                <w:color w:val="000000"/>
                <w:sz w:val="18"/>
                <w:szCs w:val="18"/>
                <w:u w:val="none"/>
              </w:rPr>
            </w:pPr>
          </w:p>
        </w:tc>
        <w:tc>
          <w:tcPr>
            <w:tcW w:w="175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F58C17">
            <w:pPr>
              <w:rPr>
                <w:rFonts w:hint="eastAsia" w:ascii="宋体" w:hAnsi="宋体" w:eastAsia="宋体" w:cs="宋体"/>
                <w:i w:val="0"/>
                <w:iCs w:val="0"/>
                <w:color w:val="000000"/>
                <w:sz w:val="18"/>
                <w:szCs w:val="18"/>
                <w:u w:val="none"/>
              </w:rPr>
            </w:pPr>
          </w:p>
        </w:tc>
        <w:tc>
          <w:tcPr>
            <w:tcW w:w="7497" w:type="dxa"/>
            <w:gridSpan w:val="20"/>
            <w:tcBorders>
              <w:top w:val="single" w:color="000000" w:sz="4" w:space="0"/>
              <w:left w:val="single" w:color="000000" w:sz="4" w:space="0"/>
              <w:bottom w:val="single" w:color="000000" w:sz="4" w:space="0"/>
              <w:right w:val="single" w:color="000000" w:sz="4" w:space="0"/>
            </w:tcBorders>
            <w:shd w:val="clear" w:color="auto" w:fill="auto"/>
            <w:vAlign w:val="center"/>
          </w:tcPr>
          <w:p w14:paraId="590CAC3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1.开展平安中国建设经费；2.市综治中心日常运转经费；3.市域社会治理现代化经费；4.扫黑除恶工作经费；5.表彰见义勇为先进和保险费等；6.开展政法重点工作宣传。</w:t>
            </w:r>
          </w:p>
        </w:tc>
        <w:tc>
          <w:tcPr>
            <w:tcW w:w="4316"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38520B85">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保证了市综治中心日常工作运转支出；完成了市域社会治理现代化经费和扫黑除恶工作经费；表彰见义勇为先进个人4人。缴纳了见义勇为保险费。政法重点工作宣传。</w:t>
            </w:r>
          </w:p>
        </w:tc>
      </w:tr>
      <w:tr w14:paraId="28CA02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494" w:type="dxa"/>
          <w:trHeight w:val="450" w:hRule="atLeast"/>
        </w:trPr>
        <w:tc>
          <w:tcPr>
            <w:tcW w:w="107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00419E">
            <w:pPr>
              <w:rPr>
                <w:rFonts w:hint="eastAsia" w:ascii="宋体" w:hAnsi="宋体" w:eastAsia="宋体" w:cs="宋体"/>
                <w:i w:val="0"/>
                <w:iCs w:val="0"/>
                <w:color w:val="000000"/>
                <w:sz w:val="18"/>
                <w:szCs w:val="18"/>
                <w:u w:val="none"/>
              </w:rPr>
            </w:pPr>
          </w:p>
        </w:tc>
        <w:tc>
          <w:tcPr>
            <w:tcW w:w="17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878E1E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11813" w:type="dxa"/>
            <w:gridSpan w:val="35"/>
            <w:tcBorders>
              <w:top w:val="single" w:color="000000" w:sz="4" w:space="0"/>
              <w:left w:val="single" w:color="000000" w:sz="4" w:space="0"/>
              <w:bottom w:val="single" w:color="000000" w:sz="4" w:space="0"/>
              <w:right w:val="single" w:color="000000" w:sz="4" w:space="0"/>
            </w:tcBorders>
            <w:shd w:val="clear" w:color="auto" w:fill="auto"/>
            <w:vAlign w:val="center"/>
          </w:tcPr>
          <w:p w14:paraId="353E244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保障了综治中心的日常运转，经费落实到位，见义勇位激励与保障经费落实到位。通过传统和网络媒体媒体对政法重点工作进行宣传。</w:t>
            </w:r>
          </w:p>
        </w:tc>
      </w:tr>
      <w:tr w14:paraId="6422CC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494" w:type="dxa"/>
          <w:trHeight w:val="270" w:hRule="atLeast"/>
        </w:trPr>
        <w:tc>
          <w:tcPr>
            <w:tcW w:w="1079"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CBB8E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17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54AB28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133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083F5C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292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EE72E8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3237"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3576E46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7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D2C208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72E223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1C286E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FC1896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14D4A7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494" w:type="dxa"/>
          <w:trHeight w:val="270" w:hRule="atLeast"/>
        </w:trPr>
        <w:tc>
          <w:tcPr>
            <w:tcW w:w="107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5BB65C">
            <w:pPr>
              <w:jc w:val="center"/>
              <w:rPr>
                <w:rFonts w:hint="eastAsia" w:ascii="宋体" w:hAnsi="宋体" w:eastAsia="宋体" w:cs="宋体"/>
                <w:i w:val="0"/>
                <w:iCs w:val="0"/>
                <w:color w:val="000000"/>
                <w:sz w:val="18"/>
                <w:szCs w:val="18"/>
                <w:u w:val="none"/>
              </w:rPr>
            </w:pPr>
          </w:p>
        </w:tc>
        <w:tc>
          <w:tcPr>
            <w:tcW w:w="17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6370D5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133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2453F2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313.00</w:t>
            </w:r>
          </w:p>
        </w:tc>
        <w:tc>
          <w:tcPr>
            <w:tcW w:w="292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F90668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313.00</w:t>
            </w:r>
          </w:p>
        </w:tc>
        <w:tc>
          <w:tcPr>
            <w:tcW w:w="3237"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41C1EFD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304.60</w:t>
            </w:r>
          </w:p>
        </w:tc>
        <w:tc>
          <w:tcPr>
            <w:tcW w:w="107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1E888A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97.31%</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9FD985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5920F2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1079"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129AE3">
            <w:pPr>
              <w:rPr>
                <w:rFonts w:hint="eastAsia" w:ascii="黑体" w:hAnsi="黑体" w:eastAsia="黑体" w:cs="黑体"/>
                <w:i/>
                <w:iCs/>
                <w:color w:val="000000"/>
                <w:sz w:val="18"/>
                <w:szCs w:val="18"/>
                <w:u w:val="none"/>
              </w:rPr>
            </w:pPr>
          </w:p>
        </w:tc>
      </w:tr>
      <w:tr w14:paraId="178EC0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494" w:type="dxa"/>
          <w:trHeight w:val="270" w:hRule="atLeast"/>
        </w:trPr>
        <w:tc>
          <w:tcPr>
            <w:tcW w:w="107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AE6C57">
            <w:pPr>
              <w:jc w:val="center"/>
              <w:rPr>
                <w:rFonts w:hint="eastAsia" w:ascii="宋体" w:hAnsi="宋体" w:eastAsia="宋体" w:cs="宋体"/>
                <w:i w:val="0"/>
                <w:iCs w:val="0"/>
                <w:color w:val="000000"/>
                <w:sz w:val="18"/>
                <w:szCs w:val="18"/>
                <w:u w:val="none"/>
              </w:rPr>
            </w:pPr>
          </w:p>
        </w:tc>
        <w:tc>
          <w:tcPr>
            <w:tcW w:w="17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E6FC0A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133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9AF377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313.00</w:t>
            </w:r>
          </w:p>
        </w:tc>
        <w:tc>
          <w:tcPr>
            <w:tcW w:w="292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7A7D0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313.00</w:t>
            </w:r>
          </w:p>
        </w:tc>
        <w:tc>
          <w:tcPr>
            <w:tcW w:w="3237"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6B01647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304.60</w:t>
            </w:r>
          </w:p>
        </w:tc>
        <w:tc>
          <w:tcPr>
            <w:tcW w:w="107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9C73A9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97.31%</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4DA73E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4B25D3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7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7634FB">
            <w:pPr>
              <w:rPr>
                <w:rFonts w:hint="eastAsia" w:ascii="黑体" w:hAnsi="黑体" w:eastAsia="黑体" w:cs="黑体"/>
                <w:i/>
                <w:iCs/>
                <w:color w:val="000000"/>
                <w:sz w:val="18"/>
                <w:szCs w:val="18"/>
                <w:u w:val="none"/>
              </w:rPr>
            </w:pPr>
          </w:p>
        </w:tc>
      </w:tr>
      <w:tr w14:paraId="34FA95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494" w:type="dxa"/>
          <w:trHeight w:val="270" w:hRule="atLeast"/>
        </w:trPr>
        <w:tc>
          <w:tcPr>
            <w:tcW w:w="107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FC1E44">
            <w:pPr>
              <w:jc w:val="center"/>
              <w:rPr>
                <w:rFonts w:hint="eastAsia" w:ascii="宋体" w:hAnsi="宋体" w:eastAsia="宋体" w:cs="宋体"/>
                <w:i w:val="0"/>
                <w:iCs w:val="0"/>
                <w:color w:val="000000"/>
                <w:sz w:val="18"/>
                <w:szCs w:val="18"/>
                <w:u w:val="none"/>
              </w:rPr>
            </w:pPr>
          </w:p>
        </w:tc>
        <w:tc>
          <w:tcPr>
            <w:tcW w:w="17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C71C6A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133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16F1BB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92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4EA51EF">
            <w:pPr>
              <w:jc w:val="center"/>
              <w:rPr>
                <w:rFonts w:hint="eastAsia" w:ascii="宋体" w:hAnsi="宋体" w:eastAsia="宋体" w:cs="宋体"/>
                <w:i w:val="0"/>
                <w:iCs w:val="0"/>
                <w:color w:val="000000"/>
                <w:sz w:val="18"/>
                <w:szCs w:val="18"/>
                <w:u w:val="none"/>
              </w:rPr>
            </w:pPr>
          </w:p>
        </w:tc>
        <w:tc>
          <w:tcPr>
            <w:tcW w:w="3237"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3A988F61">
            <w:pPr>
              <w:jc w:val="center"/>
              <w:rPr>
                <w:rFonts w:hint="eastAsia" w:ascii="宋体" w:hAnsi="宋体" w:eastAsia="宋体" w:cs="宋体"/>
                <w:i w:val="0"/>
                <w:iCs w:val="0"/>
                <w:color w:val="000000"/>
                <w:sz w:val="18"/>
                <w:szCs w:val="18"/>
                <w:u w:val="none"/>
              </w:rPr>
            </w:pPr>
          </w:p>
        </w:tc>
        <w:tc>
          <w:tcPr>
            <w:tcW w:w="107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A01D2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CF10B8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47C0B4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7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C897E5">
            <w:pPr>
              <w:rPr>
                <w:rFonts w:hint="eastAsia" w:ascii="黑体" w:hAnsi="黑体" w:eastAsia="黑体" w:cs="黑体"/>
                <w:i/>
                <w:iCs/>
                <w:color w:val="000000"/>
                <w:sz w:val="18"/>
                <w:szCs w:val="18"/>
                <w:u w:val="none"/>
              </w:rPr>
            </w:pPr>
          </w:p>
        </w:tc>
      </w:tr>
      <w:tr w14:paraId="76B940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494" w:type="dxa"/>
          <w:trHeight w:val="270" w:hRule="atLeast"/>
        </w:trPr>
        <w:tc>
          <w:tcPr>
            <w:tcW w:w="107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D41CDA">
            <w:pPr>
              <w:jc w:val="center"/>
              <w:rPr>
                <w:rFonts w:hint="eastAsia" w:ascii="宋体" w:hAnsi="宋体" w:eastAsia="宋体" w:cs="宋体"/>
                <w:i w:val="0"/>
                <w:iCs w:val="0"/>
                <w:color w:val="000000"/>
                <w:sz w:val="18"/>
                <w:szCs w:val="18"/>
                <w:u w:val="none"/>
              </w:rPr>
            </w:pPr>
          </w:p>
        </w:tc>
        <w:tc>
          <w:tcPr>
            <w:tcW w:w="17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FDC17C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133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936484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92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6E0BC4A">
            <w:pPr>
              <w:jc w:val="center"/>
              <w:rPr>
                <w:rFonts w:hint="eastAsia" w:ascii="宋体" w:hAnsi="宋体" w:eastAsia="宋体" w:cs="宋体"/>
                <w:i w:val="0"/>
                <w:iCs w:val="0"/>
                <w:color w:val="000000"/>
                <w:sz w:val="18"/>
                <w:szCs w:val="18"/>
                <w:u w:val="none"/>
              </w:rPr>
            </w:pPr>
          </w:p>
        </w:tc>
        <w:tc>
          <w:tcPr>
            <w:tcW w:w="3237"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157D5CF3">
            <w:pPr>
              <w:jc w:val="center"/>
              <w:rPr>
                <w:rFonts w:hint="eastAsia" w:ascii="宋体" w:hAnsi="宋体" w:eastAsia="宋体" w:cs="宋体"/>
                <w:i w:val="0"/>
                <w:iCs w:val="0"/>
                <w:color w:val="000000"/>
                <w:sz w:val="18"/>
                <w:szCs w:val="18"/>
                <w:u w:val="none"/>
              </w:rPr>
            </w:pPr>
          </w:p>
        </w:tc>
        <w:tc>
          <w:tcPr>
            <w:tcW w:w="107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19C6EE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02859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6AF759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7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F25CB9">
            <w:pPr>
              <w:rPr>
                <w:rFonts w:hint="eastAsia" w:ascii="黑体" w:hAnsi="黑体" w:eastAsia="黑体" w:cs="黑体"/>
                <w:i/>
                <w:iCs/>
                <w:color w:val="000000"/>
                <w:sz w:val="18"/>
                <w:szCs w:val="18"/>
                <w:u w:val="none"/>
              </w:rPr>
            </w:pPr>
          </w:p>
        </w:tc>
      </w:tr>
      <w:tr w14:paraId="5574D9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494" w:type="dxa"/>
          <w:trHeight w:val="270" w:hRule="atLeast"/>
        </w:trPr>
        <w:tc>
          <w:tcPr>
            <w:tcW w:w="107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15D8AF">
            <w:pPr>
              <w:jc w:val="center"/>
              <w:rPr>
                <w:rFonts w:hint="eastAsia" w:ascii="宋体" w:hAnsi="宋体" w:eastAsia="宋体" w:cs="宋体"/>
                <w:i w:val="0"/>
                <w:iCs w:val="0"/>
                <w:color w:val="000000"/>
                <w:sz w:val="18"/>
                <w:szCs w:val="18"/>
                <w:u w:val="none"/>
              </w:rPr>
            </w:pPr>
          </w:p>
        </w:tc>
        <w:tc>
          <w:tcPr>
            <w:tcW w:w="17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28263B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133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A127629">
            <w:pPr>
              <w:jc w:val="center"/>
              <w:rPr>
                <w:rFonts w:hint="eastAsia" w:ascii="微软雅黑" w:hAnsi="微软雅黑" w:eastAsia="微软雅黑" w:cs="微软雅黑"/>
                <w:i/>
                <w:iCs/>
                <w:color w:val="000000"/>
                <w:sz w:val="16"/>
                <w:szCs w:val="16"/>
                <w:u w:val="none"/>
              </w:rPr>
            </w:pPr>
          </w:p>
        </w:tc>
        <w:tc>
          <w:tcPr>
            <w:tcW w:w="292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6DDCAED">
            <w:pPr>
              <w:jc w:val="center"/>
              <w:rPr>
                <w:rFonts w:hint="eastAsia" w:ascii="微软雅黑" w:hAnsi="微软雅黑" w:eastAsia="微软雅黑" w:cs="微软雅黑"/>
                <w:i/>
                <w:iCs/>
                <w:color w:val="000000"/>
                <w:sz w:val="16"/>
                <w:szCs w:val="16"/>
                <w:u w:val="none"/>
              </w:rPr>
            </w:pPr>
          </w:p>
        </w:tc>
        <w:tc>
          <w:tcPr>
            <w:tcW w:w="3237"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30C5B179">
            <w:pPr>
              <w:jc w:val="center"/>
              <w:rPr>
                <w:rFonts w:hint="eastAsia" w:ascii="微软雅黑" w:hAnsi="微软雅黑" w:eastAsia="微软雅黑" w:cs="微软雅黑"/>
                <w:i/>
                <w:iCs/>
                <w:color w:val="000000"/>
                <w:sz w:val="16"/>
                <w:szCs w:val="16"/>
                <w:u w:val="none"/>
              </w:rPr>
            </w:pPr>
          </w:p>
        </w:tc>
        <w:tc>
          <w:tcPr>
            <w:tcW w:w="107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1985CAE">
            <w:pPr>
              <w:jc w:val="center"/>
              <w:rPr>
                <w:rFonts w:hint="eastAsia" w:ascii="微软雅黑" w:hAnsi="微软雅黑" w:eastAsia="微软雅黑" w:cs="微软雅黑"/>
                <w:i/>
                <w:iCs/>
                <w:color w:val="000000"/>
                <w:sz w:val="16"/>
                <w:szCs w:val="16"/>
                <w:u w:val="none"/>
              </w:rPr>
            </w:pP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595EB0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8F9FF3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7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0E765C">
            <w:pPr>
              <w:rPr>
                <w:rFonts w:hint="eastAsia" w:ascii="黑体" w:hAnsi="黑体" w:eastAsia="黑体" w:cs="黑体"/>
                <w:i/>
                <w:iCs/>
                <w:color w:val="000000"/>
                <w:sz w:val="18"/>
                <w:szCs w:val="18"/>
                <w:u w:val="none"/>
              </w:rPr>
            </w:pPr>
          </w:p>
        </w:tc>
      </w:tr>
      <w:tr w14:paraId="41B89D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494" w:type="dxa"/>
          <w:trHeight w:val="450" w:hRule="atLeast"/>
        </w:trPr>
        <w:tc>
          <w:tcPr>
            <w:tcW w:w="1079"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328B7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17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1DF0626">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一级指标</w:t>
            </w:r>
          </w:p>
        </w:tc>
        <w:tc>
          <w:tcPr>
            <w:tcW w:w="133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FC3F40B">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二级指标</w:t>
            </w:r>
          </w:p>
        </w:tc>
        <w:tc>
          <w:tcPr>
            <w:tcW w:w="292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073437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三级指标</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A34A67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指标性质</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3F9728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指标值</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AE2665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度量单位</w:t>
            </w:r>
          </w:p>
        </w:tc>
        <w:tc>
          <w:tcPr>
            <w:tcW w:w="107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007506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完成值</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942C522">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权重</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66AB52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color w:val="000000"/>
                <w:kern w:val="0"/>
                <w:sz w:val="16"/>
                <w:szCs w:val="16"/>
                <w:u w:val="none"/>
                <w:lang w:val="en-US" w:eastAsia="zh-CN" w:bidi="ar"/>
              </w:rPr>
              <w:t>得分</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F86946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199EAB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494" w:type="dxa"/>
          <w:trHeight w:val="320" w:hRule="atLeast"/>
        </w:trPr>
        <w:tc>
          <w:tcPr>
            <w:tcW w:w="107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4993F5">
            <w:pPr>
              <w:jc w:val="center"/>
              <w:rPr>
                <w:rFonts w:hint="eastAsia" w:ascii="宋体" w:hAnsi="宋体" w:eastAsia="宋体" w:cs="宋体"/>
                <w:i w:val="0"/>
                <w:iCs w:val="0"/>
                <w:color w:val="000000"/>
                <w:sz w:val="18"/>
                <w:szCs w:val="18"/>
                <w:u w:val="none"/>
              </w:rPr>
            </w:pPr>
          </w:p>
        </w:tc>
        <w:tc>
          <w:tcPr>
            <w:tcW w:w="17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36DFCF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产出指标</w:t>
            </w:r>
          </w:p>
        </w:tc>
        <w:tc>
          <w:tcPr>
            <w:tcW w:w="133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CA88E3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数量指标</w:t>
            </w:r>
          </w:p>
        </w:tc>
        <w:tc>
          <w:tcPr>
            <w:tcW w:w="292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12D96C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表彰见义勇为先进个人</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E13FA9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16571B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929856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人</w:t>
            </w:r>
          </w:p>
        </w:tc>
        <w:tc>
          <w:tcPr>
            <w:tcW w:w="1079"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D88E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A5CC24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161D47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F17645D">
            <w:pPr>
              <w:jc w:val="center"/>
              <w:rPr>
                <w:rFonts w:hint="eastAsia" w:ascii="宋体" w:hAnsi="宋体" w:eastAsia="宋体" w:cs="宋体"/>
                <w:i w:val="0"/>
                <w:iCs w:val="0"/>
                <w:color w:val="000000"/>
                <w:sz w:val="18"/>
                <w:szCs w:val="18"/>
                <w:u w:val="none"/>
              </w:rPr>
            </w:pPr>
          </w:p>
        </w:tc>
      </w:tr>
      <w:tr w14:paraId="6F1C2E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494" w:type="dxa"/>
          <w:trHeight w:val="320" w:hRule="atLeast"/>
        </w:trPr>
        <w:tc>
          <w:tcPr>
            <w:tcW w:w="107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A2F15E">
            <w:pPr>
              <w:jc w:val="center"/>
              <w:rPr>
                <w:rFonts w:hint="eastAsia" w:ascii="宋体" w:hAnsi="宋体" w:eastAsia="宋体" w:cs="宋体"/>
                <w:i w:val="0"/>
                <w:iCs w:val="0"/>
                <w:color w:val="000000"/>
                <w:sz w:val="18"/>
                <w:szCs w:val="18"/>
                <w:u w:val="none"/>
              </w:rPr>
            </w:pPr>
          </w:p>
        </w:tc>
        <w:tc>
          <w:tcPr>
            <w:tcW w:w="17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2BAC9D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产出指标</w:t>
            </w:r>
          </w:p>
        </w:tc>
        <w:tc>
          <w:tcPr>
            <w:tcW w:w="133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9103B3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数量指标</w:t>
            </w:r>
          </w:p>
        </w:tc>
        <w:tc>
          <w:tcPr>
            <w:tcW w:w="292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6CC68C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创建平安社区</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B471AE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1571FD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1500</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EAAACA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07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75480A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1500</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187704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F6FECC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63CA0B9">
            <w:pPr>
              <w:jc w:val="center"/>
              <w:rPr>
                <w:rFonts w:hint="eastAsia" w:ascii="宋体" w:hAnsi="宋体" w:eastAsia="宋体" w:cs="宋体"/>
                <w:i w:val="0"/>
                <w:iCs w:val="0"/>
                <w:color w:val="000000"/>
                <w:sz w:val="18"/>
                <w:szCs w:val="18"/>
                <w:u w:val="none"/>
              </w:rPr>
            </w:pPr>
          </w:p>
        </w:tc>
      </w:tr>
      <w:tr w14:paraId="505739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494" w:type="dxa"/>
          <w:trHeight w:val="320" w:hRule="atLeast"/>
        </w:trPr>
        <w:tc>
          <w:tcPr>
            <w:tcW w:w="107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5AC3C0">
            <w:pPr>
              <w:jc w:val="center"/>
              <w:rPr>
                <w:rFonts w:hint="eastAsia" w:ascii="宋体" w:hAnsi="宋体" w:eastAsia="宋体" w:cs="宋体"/>
                <w:i w:val="0"/>
                <w:iCs w:val="0"/>
                <w:color w:val="000000"/>
                <w:sz w:val="18"/>
                <w:szCs w:val="18"/>
                <w:u w:val="none"/>
              </w:rPr>
            </w:pPr>
          </w:p>
        </w:tc>
        <w:tc>
          <w:tcPr>
            <w:tcW w:w="17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4004A9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产出指标</w:t>
            </w:r>
          </w:p>
        </w:tc>
        <w:tc>
          <w:tcPr>
            <w:tcW w:w="133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D55BC6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数量指标</w:t>
            </w:r>
          </w:p>
        </w:tc>
        <w:tc>
          <w:tcPr>
            <w:tcW w:w="292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FFE872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链路视频图像资源运维护</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414E5E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958965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15</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3D8B87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条</w:t>
            </w:r>
          </w:p>
        </w:tc>
        <w:tc>
          <w:tcPr>
            <w:tcW w:w="107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7A3A8A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15</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426CD1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7CEC7C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3A3568D">
            <w:pPr>
              <w:jc w:val="center"/>
              <w:rPr>
                <w:rFonts w:hint="eastAsia" w:ascii="宋体" w:hAnsi="宋体" w:eastAsia="宋体" w:cs="宋体"/>
                <w:i w:val="0"/>
                <w:iCs w:val="0"/>
                <w:color w:val="000000"/>
                <w:sz w:val="18"/>
                <w:szCs w:val="18"/>
                <w:u w:val="none"/>
              </w:rPr>
            </w:pPr>
          </w:p>
        </w:tc>
      </w:tr>
      <w:tr w14:paraId="14490D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494" w:type="dxa"/>
          <w:trHeight w:val="320" w:hRule="atLeast"/>
        </w:trPr>
        <w:tc>
          <w:tcPr>
            <w:tcW w:w="107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B9CE90">
            <w:pPr>
              <w:jc w:val="center"/>
              <w:rPr>
                <w:rFonts w:hint="eastAsia" w:ascii="宋体" w:hAnsi="宋体" w:eastAsia="宋体" w:cs="宋体"/>
                <w:i w:val="0"/>
                <w:iCs w:val="0"/>
                <w:color w:val="000000"/>
                <w:sz w:val="18"/>
                <w:szCs w:val="18"/>
                <w:u w:val="none"/>
              </w:rPr>
            </w:pPr>
          </w:p>
        </w:tc>
        <w:tc>
          <w:tcPr>
            <w:tcW w:w="17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E37AF5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产出指标</w:t>
            </w:r>
          </w:p>
        </w:tc>
        <w:tc>
          <w:tcPr>
            <w:tcW w:w="133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8FB016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数量指标</w:t>
            </w:r>
          </w:p>
        </w:tc>
        <w:tc>
          <w:tcPr>
            <w:tcW w:w="292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D93E4D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平安中国建设示范市</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B41DFF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E55616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B4B7D4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07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020E0A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D9F993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1C263A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7D37DAC">
            <w:pPr>
              <w:jc w:val="center"/>
              <w:rPr>
                <w:rFonts w:hint="eastAsia" w:ascii="宋体" w:hAnsi="宋体" w:eastAsia="宋体" w:cs="宋体"/>
                <w:i w:val="0"/>
                <w:iCs w:val="0"/>
                <w:color w:val="000000"/>
                <w:sz w:val="18"/>
                <w:szCs w:val="18"/>
                <w:u w:val="none"/>
              </w:rPr>
            </w:pPr>
          </w:p>
        </w:tc>
      </w:tr>
      <w:tr w14:paraId="49F714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494" w:type="dxa"/>
          <w:trHeight w:val="320" w:hRule="atLeast"/>
        </w:trPr>
        <w:tc>
          <w:tcPr>
            <w:tcW w:w="107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211CA5">
            <w:pPr>
              <w:jc w:val="center"/>
              <w:rPr>
                <w:rFonts w:hint="eastAsia" w:ascii="宋体" w:hAnsi="宋体" w:eastAsia="宋体" w:cs="宋体"/>
                <w:i w:val="0"/>
                <w:iCs w:val="0"/>
                <w:color w:val="000000"/>
                <w:sz w:val="18"/>
                <w:szCs w:val="18"/>
                <w:u w:val="none"/>
              </w:rPr>
            </w:pPr>
          </w:p>
        </w:tc>
        <w:tc>
          <w:tcPr>
            <w:tcW w:w="17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D6D05C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产出指标</w:t>
            </w:r>
          </w:p>
        </w:tc>
        <w:tc>
          <w:tcPr>
            <w:tcW w:w="133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AB464A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数量指标</w:t>
            </w:r>
          </w:p>
        </w:tc>
        <w:tc>
          <w:tcPr>
            <w:tcW w:w="292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D77F32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扫黑除恶涉密</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AA3EF2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0A5320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39F496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w:t>
            </w:r>
          </w:p>
        </w:tc>
        <w:tc>
          <w:tcPr>
            <w:tcW w:w="107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2016C1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AA61C1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0646DF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8810AB0">
            <w:pPr>
              <w:jc w:val="center"/>
              <w:rPr>
                <w:rFonts w:hint="eastAsia" w:ascii="宋体" w:hAnsi="宋体" w:eastAsia="宋体" w:cs="宋体"/>
                <w:i w:val="0"/>
                <w:iCs w:val="0"/>
                <w:color w:val="000000"/>
                <w:sz w:val="18"/>
                <w:szCs w:val="18"/>
                <w:u w:val="none"/>
              </w:rPr>
            </w:pPr>
          </w:p>
        </w:tc>
      </w:tr>
      <w:tr w14:paraId="558456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494" w:type="dxa"/>
          <w:trHeight w:val="320" w:hRule="atLeast"/>
        </w:trPr>
        <w:tc>
          <w:tcPr>
            <w:tcW w:w="107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916745">
            <w:pPr>
              <w:jc w:val="center"/>
              <w:rPr>
                <w:rFonts w:hint="eastAsia" w:ascii="宋体" w:hAnsi="宋体" w:eastAsia="宋体" w:cs="宋体"/>
                <w:i w:val="0"/>
                <w:iCs w:val="0"/>
                <w:color w:val="000000"/>
                <w:sz w:val="18"/>
                <w:szCs w:val="18"/>
                <w:u w:val="none"/>
              </w:rPr>
            </w:pPr>
          </w:p>
        </w:tc>
        <w:tc>
          <w:tcPr>
            <w:tcW w:w="17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8F596E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产出指标</w:t>
            </w:r>
          </w:p>
        </w:tc>
        <w:tc>
          <w:tcPr>
            <w:tcW w:w="133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C0AB5F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数量指标</w:t>
            </w:r>
          </w:p>
        </w:tc>
        <w:tc>
          <w:tcPr>
            <w:tcW w:w="292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A43514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市域社会治理现代化涉密</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841519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F40572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C5C548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w:t>
            </w:r>
          </w:p>
        </w:tc>
        <w:tc>
          <w:tcPr>
            <w:tcW w:w="107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C1D693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BF67A5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BEB1AE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5D3BDF8">
            <w:pPr>
              <w:jc w:val="center"/>
              <w:rPr>
                <w:rFonts w:hint="eastAsia" w:ascii="宋体" w:hAnsi="宋体" w:eastAsia="宋体" w:cs="宋体"/>
                <w:i w:val="0"/>
                <w:iCs w:val="0"/>
                <w:color w:val="000000"/>
                <w:sz w:val="18"/>
                <w:szCs w:val="18"/>
                <w:u w:val="none"/>
              </w:rPr>
            </w:pPr>
          </w:p>
        </w:tc>
      </w:tr>
      <w:tr w14:paraId="6E072D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494" w:type="dxa"/>
          <w:trHeight w:val="320" w:hRule="atLeast"/>
        </w:trPr>
        <w:tc>
          <w:tcPr>
            <w:tcW w:w="107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6A4B95">
            <w:pPr>
              <w:jc w:val="center"/>
              <w:rPr>
                <w:rFonts w:hint="eastAsia" w:ascii="宋体" w:hAnsi="宋体" w:eastAsia="宋体" w:cs="宋体"/>
                <w:i w:val="0"/>
                <w:iCs w:val="0"/>
                <w:color w:val="000000"/>
                <w:sz w:val="18"/>
                <w:szCs w:val="18"/>
                <w:u w:val="none"/>
              </w:rPr>
            </w:pPr>
          </w:p>
        </w:tc>
        <w:tc>
          <w:tcPr>
            <w:tcW w:w="17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DC235B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产出指标</w:t>
            </w:r>
          </w:p>
        </w:tc>
        <w:tc>
          <w:tcPr>
            <w:tcW w:w="133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E8396A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数量指标</w:t>
            </w:r>
          </w:p>
        </w:tc>
        <w:tc>
          <w:tcPr>
            <w:tcW w:w="292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6EC2C4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政法宣传工作合作单位</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D6E905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E76ED9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0316F4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07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53202B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7381A8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A18430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CF180D0">
            <w:pPr>
              <w:jc w:val="center"/>
              <w:rPr>
                <w:rFonts w:hint="eastAsia" w:ascii="宋体" w:hAnsi="宋体" w:eastAsia="宋体" w:cs="宋体"/>
                <w:i w:val="0"/>
                <w:iCs w:val="0"/>
                <w:color w:val="000000"/>
                <w:sz w:val="18"/>
                <w:szCs w:val="18"/>
                <w:u w:val="none"/>
              </w:rPr>
            </w:pPr>
          </w:p>
        </w:tc>
      </w:tr>
      <w:tr w14:paraId="586443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494" w:type="dxa"/>
          <w:trHeight w:val="320" w:hRule="atLeast"/>
        </w:trPr>
        <w:tc>
          <w:tcPr>
            <w:tcW w:w="107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86B6B7">
            <w:pPr>
              <w:jc w:val="center"/>
              <w:rPr>
                <w:rFonts w:hint="eastAsia" w:ascii="宋体" w:hAnsi="宋体" w:eastAsia="宋体" w:cs="宋体"/>
                <w:i w:val="0"/>
                <w:iCs w:val="0"/>
                <w:color w:val="000000"/>
                <w:sz w:val="18"/>
                <w:szCs w:val="18"/>
                <w:u w:val="none"/>
              </w:rPr>
            </w:pPr>
          </w:p>
        </w:tc>
        <w:tc>
          <w:tcPr>
            <w:tcW w:w="17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D0A3DA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产出指标</w:t>
            </w:r>
          </w:p>
        </w:tc>
        <w:tc>
          <w:tcPr>
            <w:tcW w:w="133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B2020D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质量指标</w:t>
            </w:r>
          </w:p>
        </w:tc>
        <w:tc>
          <w:tcPr>
            <w:tcW w:w="292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AB547C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创建治理运行开展率</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5DA7B7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D2CB06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946711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w:t>
            </w:r>
          </w:p>
        </w:tc>
        <w:tc>
          <w:tcPr>
            <w:tcW w:w="107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7BE516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E8C8CB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73086D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14FEC30">
            <w:pPr>
              <w:jc w:val="center"/>
              <w:rPr>
                <w:rFonts w:hint="eastAsia" w:ascii="宋体" w:hAnsi="宋体" w:eastAsia="宋体" w:cs="宋体"/>
                <w:i w:val="0"/>
                <w:iCs w:val="0"/>
                <w:color w:val="000000"/>
                <w:sz w:val="18"/>
                <w:szCs w:val="18"/>
                <w:u w:val="none"/>
              </w:rPr>
            </w:pPr>
          </w:p>
        </w:tc>
      </w:tr>
      <w:tr w14:paraId="46CC3C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494" w:type="dxa"/>
          <w:trHeight w:val="320" w:hRule="atLeast"/>
        </w:trPr>
        <w:tc>
          <w:tcPr>
            <w:tcW w:w="107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2C16FC">
            <w:pPr>
              <w:jc w:val="center"/>
              <w:rPr>
                <w:rFonts w:hint="eastAsia" w:ascii="宋体" w:hAnsi="宋体" w:eastAsia="宋体" w:cs="宋体"/>
                <w:i w:val="0"/>
                <w:iCs w:val="0"/>
                <w:color w:val="000000"/>
                <w:sz w:val="18"/>
                <w:szCs w:val="18"/>
                <w:u w:val="none"/>
              </w:rPr>
            </w:pPr>
          </w:p>
        </w:tc>
        <w:tc>
          <w:tcPr>
            <w:tcW w:w="17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450C9D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产出指标</w:t>
            </w:r>
          </w:p>
        </w:tc>
        <w:tc>
          <w:tcPr>
            <w:tcW w:w="133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931D66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质量指标</w:t>
            </w:r>
          </w:p>
        </w:tc>
        <w:tc>
          <w:tcPr>
            <w:tcW w:w="292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9E2A02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视频图像资源运维完成率</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652538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AFC918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C68860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w:t>
            </w:r>
          </w:p>
        </w:tc>
        <w:tc>
          <w:tcPr>
            <w:tcW w:w="107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E0DA37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D9D0BA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BC2CA5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AFD81E9">
            <w:pPr>
              <w:jc w:val="center"/>
              <w:rPr>
                <w:rFonts w:hint="eastAsia" w:ascii="宋体" w:hAnsi="宋体" w:eastAsia="宋体" w:cs="宋体"/>
                <w:i w:val="0"/>
                <w:iCs w:val="0"/>
                <w:color w:val="000000"/>
                <w:sz w:val="18"/>
                <w:szCs w:val="18"/>
                <w:u w:val="none"/>
              </w:rPr>
            </w:pPr>
          </w:p>
        </w:tc>
      </w:tr>
      <w:tr w14:paraId="23DCDC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494" w:type="dxa"/>
          <w:trHeight w:val="270" w:hRule="atLeast"/>
        </w:trPr>
        <w:tc>
          <w:tcPr>
            <w:tcW w:w="107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C181AE">
            <w:pPr>
              <w:jc w:val="center"/>
              <w:rPr>
                <w:rFonts w:hint="eastAsia" w:ascii="宋体" w:hAnsi="宋体" w:eastAsia="宋体" w:cs="宋体"/>
                <w:i w:val="0"/>
                <w:iCs w:val="0"/>
                <w:color w:val="000000"/>
                <w:sz w:val="18"/>
                <w:szCs w:val="18"/>
                <w:u w:val="none"/>
              </w:rPr>
            </w:pPr>
          </w:p>
        </w:tc>
        <w:tc>
          <w:tcPr>
            <w:tcW w:w="17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A40786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产出指标</w:t>
            </w:r>
          </w:p>
        </w:tc>
        <w:tc>
          <w:tcPr>
            <w:tcW w:w="133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7BEC5A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时效指标</w:t>
            </w:r>
          </w:p>
        </w:tc>
        <w:tc>
          <w:tcPr>
            <w:tcW w:w="292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2E3604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完成时限</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D24AE6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46D0BA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330308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w:t>
            </w:r>
          </w:p>
        </w:tc>
        <w:tc>
          <w:tcPr>
            <w:tcW w:w="107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FEA4D5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815A5F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434835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1072E99">
            <w:pPr>
              <w:jc w:val="center"/>
              <w:rPr>
                <w:rFonts w:hint="eastAsia" w:ascii="宋体" w:hAnsi="宋体" w:eastAsia="宋体" w:cs="宋体"/>
                <w:i w:val="0"/>
                <w:iCs w:val="0"/>
                <w:color w:val="000000"/>
                <w:sz w:val="18"/>
                <w:szCs w:val="18"/>
                <w:u w:val="none"/>
              </w:rPr>
            </w:pPr>
          </w:p>
        </w:tc>
      </w:tr>
      <w:tr w14:paraId="1B175D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494" w:type="dxa"/>
          <w:trHeight w:val="340" w:hRule="atLeast"/>
        </w:trPr>
        <w:tc>
          <w:tcPr>
            <w:tcW w:w="107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97B661">
            <w:pPr>
              <w:jc w:val="center"/>
              <w:rPr>
                <w:rFonts w:hint="eastAsia" w:ascii="宋体" w:hAnsi="宋体" w:eastAsia="宋体" w:cs="宋体"/>
                <w:i w:val="0"/>
                <w:iCs w:val="0"/>
                <w:color w:val="000000"/>
                <w:sz w:val="18"/>
                <w:szCs w:val="18"/>
                <w:u w:val="none"/>
              </w:rPr>
            </w:pPr>
          </w:p>
        </w:tc>
        <w:tc>
          <w:tcPr>
            <w:tcW w:w="17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9876EF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效益指标</w:t>
            </w:r>
          </w:p>
        </w:tc>
        <w:tc>
          <w:tcPr>
            <w:tcW w:w="133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9FCB7F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社会效益指标</w:t>
            </w:r>
          </w:p>
        </w:tc>
        <w:tc>
          <w:tcPr>
            <w:tcW w:w="292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859ABF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全市网络及校园周边治理工作开展</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B1CBF2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EAD409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8A6B8C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w:t>
            </w:r>
          </w:p>
        </w:tc>
        <w:tc>
          <w:tcPr>
            <w:tcW w:w="107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875DBE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3F9478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C13BD1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3195CD8">
            <w:pPr>
              <w:jc w:val="center"/>
              <w:rPr>
                <w:rFonts w:hint="eastAsia" w:ascii="宋体" w:hAnsi="宋体" w:eastAsia="宋体" w:cs="宋体"/>
                <w:i w:val="0"/>
                <w:iCs w:val="0"/>
                <w:color w:val="000000"/>
                <w:sz w:val="18"/>
                <w:szCs w:val="18"/>
                <w:u w:val="none"/>
              </w:rPr>
            </w:pPr>
          </w:p>
        </w:tc>
      </w:tr>
      <w:tr w14:paraId="7A5E3C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494" w:type="dxa"/>
          <w:trHeight w:val="420" w:hRule="atLeast"/>
        </w:trPr>
        <w:tc>
          <w:tcPr>
            <w:tcW w:w="107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99DC5F">
            <w:pPr>
              <w:jc w:val="center"/>
              <w:rPr>
                <w:rFonts w:hint="eastAsia" w:ascii="宋体" w:hAnsi="宋体" w:eastAsia="宋体" w:cs="宋体"/>
                <w:i w:val="0"/>
                <w:iCs w:val="0"/>
                <w:color w:val="000000"/>
                <w:sz w:val="18"/>
                <w:szCs w:val="18"/>
                <w:u w:val="none"/>
              </w:rPr>
            </w:pPr>
          </w:p>
        </w:tc>
        <w:tc>
          <w:tcPr>
            <w:tcW w:w="17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6512BE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效益指标</w:t>
            </w:r>
          </w:p>
        </w:tc>
        <w:tc>
          <w:tcPr>
            <w:tcW w:w="133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A11C48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社会效益指标</w:t>
            </w:r>
          </w:p>
        </w:tc>
        <w:tc>
          <w:tcPr>
            <w:tcW w:w="292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CA6DF3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政法系统工作宣传普及率95%以上为高，90%-95%为中，小于90%为低</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F16504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定性</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8FB09E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高</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8D863C4">
            <w:pPr>
              <w:jc w:val="center"/>
              <w:rPr>
                <w:rFonts w:hint="eastAsia" w:ascii="宋体" w:hAnsi="宋体" w:eastAsia="宋体" w:cs="宋体"/>
                <w:i w:val="0"/>
                <w:iCs w:val="0"/>
                <w:color w:val="000000"/>
                <w:sz w:val="16"/>
                <w:szCs w:val="16"/>
                <w:u w:val="none"/>
              </w:rPr>
            </w:pPr>
          </w:p>
        </w:tc>
        <w:tc>
          <w:tcPr>
            <w:tcW w:w="107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A487C5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高</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7F477E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D906CF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E491AAA">
            <w:pPr>
              <w:jc w:val="center"/>
              <w:rPr>
                <w:rFonts w:hint="eastAsia" w:ascii="宋体" w:hAnsi="宋体" w:eastAsia="宋体" w:cs="宋体"/>
                <w:i w:val="0"/>
                <w:iCs w:val="0"/>
                <w:color w:val="000000"/>
                <w:sz w:val="18"/>
                <w:szCs w:val="18"/>
                <w:u w:val="none"/>
              </w:rPr>
            </w:pPr>
          </w:p>
        </w:tc>
      </w:tr>
      <w:tr w14:paraId="3DFFB3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494" w:type="dxa"/>
          <w:trHeight w:val="600" w:hRule="atLeast"/>
        </w:trPr>
        <w:tc>
          <w:tcPr>
            <w:tcW w:w="107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B5BD5A">
            <w:pPr>
              <w:jc w:val="center"/>
              <w:rPr>
                <w:rFonts w:hint="eastAsia" w:ascii="宋体" w:hAnsi="宋体" w:eastAsia="宋体" w:cs="宋体"/>
                <w:i w:val="0"/>
                <w:iCs w:val="0"/>
                <w:color w:val="000000"/>
                <w:sz w:val="18"/>
                <w:szCs w:val="18"/>
                <w:u w:val="none"/>
              </w:rPr>
            </w:pPr>
          </w:p>
        </w:tc>
        <w:tc>
          <w:tcPr>
            <w:tcW w:w="17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78F81A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效益指标</w:t>
            </w:r>
          </w:p>
        </w:tc>
        <w:tc>
          <w:tcPr>
            <w:tcW w:w="133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09FC00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可持续影响指标</w:t>
            </w:r>
          </w:p>
        </w:tc>
        <w:tc>
          <w:tcPr>
            <w:tcW w:w="292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2E7356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提升综治中心工作智能化水平，深化数据资源共享，融化新型智慧城市建设</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CFCEEB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7106A5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DCB5E4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w:t>
            </w:r>
          </w:p>
        </w:tc>
        <w:tc>
          <w:tcPr>
            <w:tcW w:w="107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C83BE4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E37201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0EF17C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A944D9C">
            <w:pPr>
              <w:jc w:val="center"/>
              <w:rPr>
                <w:rFonts w:hint="eastAsia" w:ascii="宋体" w:hAnsi="宋体" w:eastAsia="宋体" w:cs="宋体"/>
                <w:i w:val="0"/>
                <w:iCs w:val="0"/>
                <w:color w:val="000000"/>
                <w:sz w:val="18"/>
                <w:szCs w:val="18"/>
                <w:u w:val="none"/>
              </w:rPr>
            </w:pPr>
          </w:p>
        </w:tc>
      </w:tr>
      <w:tr w14:paraId="3BABBD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494" w:type="dxa"/>
          <w:trHeight w:val="420" w:hRule="atLeast"/>
        </w:trPr>
        <w:tc>
          <w:tcPr>
            <w:tcW w:w="107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7DE2C7">
            <w:pPr>
              <w:jc w:val="center"/>
              <w:rPr>
                <w:rFonts w:hint="eastAsia" w:ascii="宋体" w:hAnsi="宋体" w:eastAsia="宋体" w:cs="宋体"/>
                <w:i w:val="0"/>
                <w:iCs w:val="0"/>
                <w:color w:val="000000"/>
                <w:sz w:val="18"/>
                <w:szCs w:val="18"/>
                <w:u w:val="none"/>
              </w:rPr>
            </w:pPr>
          </w:p>
        </w:tc>
        <w:tc>
          <w:tcPr>
            <w:tcW w:w="17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077088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p>
        </w:tc>
        <w:tc>
          <w:tcPr>
            <w:tcW w:w="133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CDDE19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服务对象满意度指标</w:t>
            </w:r>
          </w:p>
        </w:tc>
        <w:tc>
          <w:tcPr>
            <w:tcW w:w="292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E21F5B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人民获得幸福感及安全感95%以上为高，90%-95%为中，小于90%为低</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72D73E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定性</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A38D92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高</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85B1215">
            <w:pPr>
              <w:jc w:val="center"/>
              <w:rPr>
                <w:rFonts w:hint="eastAsia" w:ascii="宋体" w:hAnsi="宋体" w:eastAsia="宋体" w:cs="宋体"/>
                <w:i w:val="0"/>
                <w:iCs w:val="0"/>
                <w:color w:val="000000"/>
                <w:sz w:val="16"/>
                <w:szCs w:val="16"/>
                <w:u w:val="none"/>
              </w:rPr>
            </w:pPr>
          </w:p>
        </w:tc>
        <w:tc>
          <w:tcPr>
            <w:tcW w:w="107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1E8A59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高</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2364F4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4EB453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B2AA95D">
            <w:pPr>
              <w:jc w:val="center"/>
              <w:rPr>
                <w:rFonts w:hint="eastAsia" w:ascii="宋体" w:hAnsi="宋体" w:eastAsia="宋体" w:cs="宋体"/>
                <w:i w:val="0"/>
                <w:iCs w:val="0"/>
                <w:color w:val="000000"/>
                <w:sz w:val="18"/>
                <w:szCs w:val="18"/>
                <w:u w:val="none"/>
              </w:rPr>
            </w:pPr>
          </w:p>
        </w:tc>
      </w:tr>
      <w:tr w14:paraId="358866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494" w:type="dxa"/>
          <w:trHeight w:val="300" w:hRule="atLeast"/>
        </w:trPr>
        <w:tc>
          <w:tcPr>
            <w:tcW w:w="107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C3A090">
            <w:pPr>
              <w:jc w:val="center"/>
              <w:rPr>
                <w:rFonts w:hint="eastAsia" w:ascii="宋体" w:hAnsi="宋体" w:eastAsia="宋体" w:cs="宋体"/>
                <w:i w:val="0"/>
                <w:iCs w:val="0"/>
                <w:color w:val="000000"/>
                <w:sz w:val="18"/>
                <w:szCs w:val="18"/>
                <w:u w:val="none"/>
              </w:rPr>
            </w:pPr>
          </w:p>
        </w:tc>
        <w:tc>
          <w:tcPr>
            <w:tcW w:w="17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EB9081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p>
        </w:tc>
        <w:tc>
          <w:tcPr>
            <w:tcW w:w="133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2D3A55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服务对象满意度指标</w:t>
            </w:r>
          </w:p>
        </w:tc>
        <w:tc>
          <w:tcPr>
            <w:tcW w:w="292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878A28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四县三区服务对象满意</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ADFE68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599335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95</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2E818F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w:t>
            </w:r>
          </w:p>
        </w:tc>
        <w:tc>
          <w:tcPr>
            <w:tcW w:w="107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0CCB06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95</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29A09D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73406E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2AAF6FF">
            <w:pPr>
              <w:jc w:val="center"/>
              <w:rPr>
                <w:rFonts w:hint="eastAsia" w:ascii="宋体" w:hAnsi="宋体" w:eastAsia="宋体" w:cs="宋体"/>
                <w:i w:val="0"/>
                <w:iCs w:val="0"/>
                <w:color w:val="000000"/>
                <w:sz w:val="18"/>
                <w:szCs w:val="18"/>
                <w:u w:val="none"/>
              </w:rPr>
            </w:pPr>
          </w:p>
        </w:tc>
      </w:tr>
      <w:tr w14:paraId="6A4185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494" w:type="dxa"/>
          <w:trHeight w:val="300" w:hRule="atLeast"/>
        </w:trPr>
        <w:tc>
          <w:tcPr>
            <w:tcW w:w="107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E28151">
            <w:pPr>
              <w:jc w:val="center"/>
              <w:rPr>
                <w:rFonts w:hint="eastAsia" w:ascii="宋体" w:hAnsi="宋体" w:eastAsia="宋体" w:cs="宋体"/>
                <w:i w:val="0"/>
                <w:iCs w:val="0"/>
                <w:color w:val="000000"/>
                <w:sz w:val="18"/>
                <w:szCs w:val="18"/>
                <w:u w:val="none"/>
              </w:rPr>
            </w:pPr>
          </w:p>
        </w:tc>
        <w:tc>
          <w:tcPr>
            <w:tcW w:w="17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4B1C41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133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75BC0F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经济成本指标</w:t>
            </w:r>
          </w:p>
        </w:tc>
        <w:tc>
          <w:tcPr>
            <w:tcW w:w="292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C26A6F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表彰见义勇为先进和保险费</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DC3718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28EA12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41</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2B71A3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万元/每项目</w:t>
            </w:r>
          </w:p>
        </w:tc>
        <w:tc>
          <w:tcPr>
            <w:tcW w:w="107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D35901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41</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9FC9F8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6F7178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CEFBC55">
            <w:pPr>
              <w:jc w:val="center"/>
              <w:rPr>
                <w:rFonts w:hint="eastAsia" w:ascii="宋体" w:hAnsi="宋体" w:eastAsia="宋体" w:cs="宋体"/>
                <w:i w:val="0"/>
                <w:iCs w:val="0"/>
                <w:color w:val="000000"/>
                <w:sz w:val="18"/>
                <w:szCs w:val="18"/>
                <w:u w:val="none"/>
              </w:rPr>
            </w:pPr>
          </w:p>
        </w:tc>
      </w:tr>
      <w:tr w14:paraId="20D4C6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494" w:type="dxa"/>
          <w:trHeight w:val="300" w:hRule="atLeast"/>
        </w:trPr>
        <w:tc>
          <w:tcPr>
            <w:tcW w:w="107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D91B2F">
            <w:pPr>
              <w:jc w:val="center"/>
              <w:rPr>
                <w:rFonts w:hint="eastAsia" w:ascii="宋体" w:hAnsi="宋体" w:eastAsia="宋体" w:cs="宋体"/>
                <w:i w:val="0"/>
                <w:iCs w:val="0"/>
                <w:color w:val="000000"/>
                <w:sz w:val="18"/>
                <w:szCs w:val="18"/>
                <w:u w:val="none"/>
              </w:rPr>
            </w:pPr>
          </w:p>
        </w:tc>
        <w:tc>
          <w:tcPr>
            <w:tcW w:w="17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FC5D84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133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1BCB99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经济成本指标</w:t>
            </w:r>
          </w:p>
        </w:tc>
        <w:tc>
          <w:tcPr>
            <w:tcW w:w="292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75545A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平安中国建设经费</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6F6541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C98C51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37</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8E69FC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万元/每项目</w:t>
            </w:r>
          </w:p>
        </w:tc>
        <w:tc>
          <w:tcPr>
            <w:tcW w:w="107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5FF51C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37</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045D9C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50811A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DA537CB">
            <w:pPr>
              <w:jc w:val="center"/>
              <w:rPr>
                <w:rFonts w:hint="eastAsia" w:ascii="宋体" w:hAnsi="宋体" w:eastAsia="宋体" w:cs="宋体"/>
                <w:i w:val="0"/>
                <w:iCs w:val="0"/>
                <w:color w:val="000000"/>
                <w:sz w:val="18"/>
                <w:szCs w:val="18"/>
                <w:u w:val="none"/>
              </w:rPr>
            </w:pPr>
          </w:p>
        </w:tc>
      </w:tr>
      <w:tr w14:paraId="27B733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494" w:type="dxa"/>
          <w:trHeight w:val="300" w:hRule="atLeast"/>
        </w:trPr>
        <w:tc>
          <w:tcPr>
            <w:tcW w:w="107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5BF414">
            <w:pPr>
              <w:jc w:val="center"/>
              <w:rPr>
                <w:rFonts w:hint="eastAsia" w:ascii="宋体" w:hAnsi="宋体" w:eastAsia="宋体" w:cs="宋体"/>
                <w:i w:val="0"/>
                <w:iCs w:val="0"/>
                <w:color w:val="000000"/>
                <w:sz w:val="18"/>
                <w:szCs w:val="18"/>
                <w:u w:val="none"/>
              </w:rPr>
            </w:pPr>
          </w:p>
        </w:tc>
        <w:tc>
          <w:tcPr>
            <w:tcW w:w="17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104862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133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6173FB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经济成本指标</w:t>
            </w:r>
          </w:p>
        </w:tc>
        <w:tc>
          <w:tcPr>
            <w:tcW w:w="292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175E46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扫黑除恶工作经费</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9A186A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3EFB3F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32</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9F919D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万元/每项目</w:t>
            </w:r>
          </w:p>
        </w:tc>
        <w:tc>
          <w:tcPr>
            <w:tcW w:w="107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4784E5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32</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0A8E16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CFFE83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C869462">
            <w:pPr>
              <w:jc w:val="center"/>
              <w:rPr>
                <w:rFonts w:hint="eastAsia" w:ascii="宋体" w:hAnsi="宋体" w:eastAsia="宋体" w:cs="宋体"/>
                <w:i w:val="0"/>
                <w:iCs w:val="0"/>
                <w:color w:val="000000"/>
                <w:sz w:val="18"/>
                <w:szCs w:val="18"/>
                <w:u w:val="none"/>
              </w:rPr>
            </w:pPr>
          </w:p>
        </w:tc>
      </w:tr>
      <w:tr w14:paraId="2FB3D3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494" w:type="dxa"/>
          <w:trHeight w:val="300" w:hRule="atLeast"/>
        </w:trPr>
        <w:tc>
          <w:tcPr>
            <w:tcW w:w="107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07BB4F">
            <w:pPr>
              <w:jc w:val="center"/>
              <w:rPr>
                <w:rFonts w:hint="eastAsia" w:ascii="宋体" w:hAnsi="宋体" w:eastAsia="宋体" w:cs="宋体"/>
                <w:i w:val="0"/>
                <w:iCs w:val="0"/>
                <w:color w:val="000000"/>
                <w:sz w:val="18"/>
                <w:szCs w:val="18"/>
                <w:u w:val="none"/>
              </w:rPr>
            </w:pPr>
          </w:p>
        </w:tc>
        <w:tc>
          <w:tcPr>
            <w:tcW w:w="17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C7A774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133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999B96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经济成本指标</w:t>
            </w:r>
          </w:p>
        </w:tc>
        <w:tc>
          <w:tcPr>
            <w:tcW w:w="292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76CB2E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市域社会治理现代化经费</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FB6984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88DC61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62</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FF30AE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万元/每项目</w:t>
            </w:r>
          </w:p>
        </w:tc>
        <w:tc>
          <w:tcPr>
            <w:tcW w:w="107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8FE11D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62</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E0901F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C67BFF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E84BC57">
            <w:pPr>
              <w:jc w:val="center"/>
              <w:rPr>
                <w:rFonts w:hint="eastAsia" w:ascii="宋体" w:hAnsi="宋体" w:eastAsia="宋体" w:cs="宋体"/>
                <w:i w:val="0"/>
                <w:iCs w:val="0"/>
                <w:color w:val="000000"/>
                <w:sz w:val="18"/>
                <w:szCs w:val="18"/>
                <w:u w:val="none"/>
              </w:rPr>
            </w:pPr>
          </w:p>
        </w:tc>
      </w:tr>
      <w:tr w14:paraId="1EFBC1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494" w:type="dxa"/>
          <w:trHeight w:val="300" w:hRule="atLeast"/>
        </w:trPr>
        <w:tc>
          <w:tcPr>
            <w:tcW w:w="107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E0FEC4">
            <w:pPr>
              <w:jc w:val="center"/>
              <w:rPr>
                <w:rFonts w:hint="eastAsia" w:ascii="宋体" w:hAnsi="宋体" w:eastAsia="宋体" w:cs="宋体"/>
                <w:i w:val="0"/>
                <w:iCs w:val="0"/>
                <w:color w:val="000000"/>
                <w:sz w:val="18"/>
                <w:szCs w:val="18"/>
                <w:u w:val="none"/>
              </w:rPr>
            </w:pPr>
          </w:p>
        </w:tc>
        <w:tc>
          <w:tcPr>
            <w:tcW w:w="17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52971E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133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CF7E86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经济成本指标</w:t>
            </w:r>
          </w:p>
        </w:tc>
        <w:tc>
          <w:tcPr>
            <w:tcW w:w="292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A4168F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市综治中心日常运转经费</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2102A0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FDD1C9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128</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FAF89F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万元/每项目</w:t>
            </w:r>
          </w:p>
        </w:tc>
        <w:tc>
          <w:tcPr>
            <w:tcW w:w="107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A31EB6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119.6</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CFA8C2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2A02F8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878D26A">
            <w:pPr>
              <w:jc w:val="center"/>
              <w:rPr>
                <w:rFonts w:hint="eastAsia" w:ascii="宋体" w:hAnsi="宋体" w:eastAsia="宋体" w:cs="宋体"/>
                <w:i w:val="0"/>
                <w:iCs w:val="0"/>
                <w:color w:val="000000"/>
                <w:sz w:val="18"/>
                <w:szCs w:val="18"/>
                <w:u w:val="none"/>
              </w:rPr>
            </w:pPr>
          </w:p>
        </w:tc>
      </w:tr>
      <w:tr w14:paraId="0C598A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494" w:type="dxa"/>
          <w:trHeight w:val="300" w:hRule="atLeast"/>
        </w:trPr>
        <w:tc>
          <w:tcPr>
            <w:tcW w:w="107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EC6FDD">
            <w:pPr>
              <w:jc w:val="center"/>
              <w:rPr>
                <w:rFonts w:hint="eastAsia" w:ascii="宋体" w:hAnsi="宋体" w:eastAsia="宋体" w:cs="宋体"/>
                <w:i w:val="0"/>
                <w:iCs w:val="0"/>
                <w:color w:val="000000"/>
                <w:sz w:val="18"/>
                <w:szCs w:val="18"/>
                <w:u w:val="none"/>
              </w:rPr>
            </w:pPr>
          </w:p>
        </w:tc>
        <w:tc>
          <w:tcPr>
            <w:tcW w:w="17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66F6CF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133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FFDF2A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经济成本指标</w:t>
            </w:r>
          </w:p>
        </w:tc>
        <w:tc>
          <w:tcPr>
            <w:tcW w:w="292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C3360E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政法重点工作宣传</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DAD51B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BF36F4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13</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8CCFB8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万元/每项目</w:t>
            </w:r>
          </w:p>
        </w:tc>
        <w:tc>
          <w:tcPr>
            <w:tcW w:w="107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C453A8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13</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81501C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106CDF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4549B51">
            <w:pPr>
              <w:jc w:val="center"/>
              <w:rPr>
                <w:rFonts w:hint="eastAsia" w:ascii="宋体" w:hAnsi="宋体" w:eastAsia="宋体" w:cs="宋体"/>
                <w:i w:val="0"/>
                <w:iCs w:val="0"/>
                <w:color w:val="000000"/>
                <w:sz w:val="18"/>
                <w:szCs w:val="18"/>
                <w:u w:val="none"/>
              </w:rPr>
            </w:pPr>
          </w:p>
        </w:tc>
      </w:tr>
      <w:tr w14:paraId="2C9463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494" w:type="dxa"/>
          <w:trHeight w:val="270" w:hRule="atLeast"/>
        </w:trPr>
        <w:tc>
          <w:tcPr>
            <w:tcW w:w="11410" w:type="dxa"/>
            <w:gridSpan w:val="29"/>
            <w:tcBorders>
              <w:top w:val="single" w:color="000000" w:sz="4" w:space="0"/>
              <w:left w:val="single" w:color="000000" w:sz="4" w:space="0"/>
              <w:bottom w:val="single" w:color="000000" w:sz="4" w:space="0"/>
              <w:right w:val="single" w:color="000000" w:sz="4" w:space="0"/>
            </w:tcBorders>
            <w:shd w:val="clear" w:color="auto" w:fill="auto"/>
            <w:vAlign w:val="center"/>
          </w:tcPr>
          <w:p w14:paraId="7935837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10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11980E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FD8D529">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471D6A0">
            <w:pPr>
              <w:rPr>
                <w:rFonts w:hint="eastAsia" w:ascii="宋体" w:hAnsi="宋体" w:eastAsia="宋体" w:cs="宋体"/>
                <w:i w:val="0"/>
                <w:iCs w:val="0"/>
                <w:color w:val="000000"/>
                <w:sz w:val="18"/>
                <w:szCs w:val="18"/>
                <w:u w:val="none"/>
              </w:rPr>
            </w:pPr>
          </w:p>
        </w:tc>
      </w:tr>
      <w:tr w14:paraId="56BD8D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494" w:type="dxa"/>
          <w:trHeight w:val="520" w:hRule="atLeast"/>
        </w:trPr>
        <w:tc>
          <w:tcPr>
            <w:tcW w:w="10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CE0EC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13568" w:type="dxa"/>
            <w:gridSpan w:val="38"/>
            <w:tcBorders>
              <w:top w:val="single" w:color="000000" w:sz="4" w:space="0"/>
              <w:left w:val="single" w:color="000000" w:sz="4" w:space="0"/>
              <w:bottom w:val="single" w:color="000000" w:sz="4" w:space="0"/>
              <w:right w:val="single" w:color="000000" w:sz="4" w:space="0"/>
            </w:tcBorders>
            <w:shd w:val="clear" w:color="auto" w:fill="auto"/>
            <w:vAlign w:val="center"/>
          </w:tcPr>
          <w:p w14:paraId="2D3974C2">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项目自评95分，保障了平安建设的基础运转，提升治理效能。综治中心高效运行，全年处理矛盾纠纷和治安事件，办结率达98%以上，群从满意度达90%以上。开展政法专题宣传50场次，制作短频率，新媒体阅读量增加。群众知晓率逐年增加。</w:t>
            </w:r>
          </w:p>
        </w:tc>
      </w:tr>
      <w:tr w14:paraId="7D5179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494" w:type="dxa"/>
          <w:trHeight w:val="270" w:hRule="atLeast"/>
        </w:trPr>
        <w:tc>
          <w:tcPr>
            <w:tcW w:w="10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43588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13568" w:type="dxa"/>
            <w:gridSpan w:val="38"/>
            <w:tcBorders>
              <w:top w:val="single" w:color="000000" w:sz="4" w:space="0"/>
              <w:left w:val="single" w:color="000000" w:sz="4" w:space="0"/>
              <w:bottom w:val="single" w:color="000000" w:sz="4" w:space="0"/>
              <w:right w:val="single" w:color="000000" w:sz="4" w:space="0"/>
            </w:tcBorders>
            <w:shd w:val="clear" w:color="auto" w:fill="auto"/>
            <w:vAlign w:val="center"/>
          </w:tcPr>
          <w:p w14:paraId="62720CC7">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智慧社会、网格化治理等试点成交显著，但推广覆盖面有限，要加大经验推广。新媒体宣传农村地区、老年群体知晓率偏低。</w:t>
            </w:r>
          </w:p>
        </w:tc>
      </w:tr>
      <w:tr w14:paraId="42F073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494" w:type="dxa"/>
          <w:trHeight w:val="270" w:hRule="atLeast"/>
        </w:trPr>
        <w:tc>
          <w:tcPr>
            <w:tcW w:w="10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01B61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13568" w:type="dxa"/>
            <w:gridSpan w:val="38"/>
            <w:tcBorders>
              <w:top w:val="single" w:color="000000" w:sz="4" w:space="0"/>
              <w:left w:val="single" w:color="000000" w:sz="4" w:space="0"/>
              <w:bottom w:val="single" w:color="000000" w:sz="4" w:space="0"/>
              <w:right w:val="single" w:color="000000" w:sz="4" w:space="0"/>
            </w:tcBorders>
            <w:shd w:val="clear" w:color="auto" w:fill="auto"/>
            <w:vAlign w:val="center"/>
          </w:tcPr>
          <w:p w14:paraId="4D455328">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形成网格化治理推广小组，纳入培训项目考核。政法宣传工作实施精准宣传，加强基层宣传力度。</w:t>
            </w:r>
          </w:p>
        </w:tc>
      </w:tr>
      <w:tr w14:paraId="676F47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494" w:type="dxa"/>
          <w:trHeight w:val="270" w:hRule="atLeast"/>
        </w:trPr>
        <w:tc>
          <w:tcPr>
            <w:tcW w:w="8173" w:type="dxa"/>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00D52F9E">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项目负责人：赵兴梅</w:t>
            </w:r>
          </w:p>
        </w:tc>
        <w:tc>
          <w:tcPr>
            <w:tcW w:w="6474" w:type="dxa"/>
            <w:gridSpan w:val="23"/>
            <w:tcBorders>
              <w:top w:val="single" w:color="000000" w:sz="4" w:space="0"/>
              <w:left w:val="single" w:color="000000" w:sz="4" w:space="0"/>
              <w:bottom w:val="single" w:color="000000" w:sz="4" w:space="0"/>
              <w:right w:val="single" w:color="000000" w:sz="4" w:space="0"/>
            </w:tcBorders>
            <w:shd w:val="clear" w:color="auto" w:fill="auto"/>
            <w:vAlign w:val="center"/>
          </w:tcPr>
          <w:p w14:paraId="6CA75263">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财务负责人：王良洪</w:t>
            </w:r>
          </w:p>
        </w:tc>
      </w:tr>
    </w:tbl>
    <w:p w14:paraId="0BFC376A">
      <w:pPr>
        <w:pStyle w:val="5"/>
        <w:rPr>
          <w:rFonts w:hint="eastAsia" w:ascii="Times New Roman" w:hAnsi="Times New Roman" w:eastAsia="黑体" w:cs="黑体"/>
          <w:color w:val="auto"/>
          <w:kern w:val="0"/>
          <w:sz w:val="32"/>
          <w:szCs w:val="32"/>
          <w:highlight w:val="none"/>
          <w:shd w:val="clear" w:color="auto" w:fill="FFFFFF"/>
          <w:lang w:val="zh-CN"/>
        </w:rPr>
      </w:pPr>
    </w:p>
    <w:p w14:paraId="4C9F5882">
      <w:pPr>
        <w:pStyle w:val="5"/>
        <w:rPr>
          <w:rFonts w:hint="eastAsia" w:ascii="Times New Roman" w:hAnsi="Times New Roman" w:eastAsia="黑体" w:cs="黑体"/>
          <w:color w:val="auto"/>
          <w:kern w:val="0"/>
          <w:sz w:val="32"/>
          <w:szCs w:val="32"/>
          <w:highlight w:val="none"/>
          <w:shd w:val="clear" w:color="auto" w:fill="FFFFFF"/>
          <w:lang w:val="zh-CN"/>
        </w:rPr>
      </w:pPr>
    </w:p>
    <w:p w14:paraId="2859FFE3">
      <w:pPr>
        <w:pStyle w:val="5"/>
        <w:rPr>
          <w:rFonts w:hint="eastAsia" w:ascii="Times New Roman" w:hAnsi="Times New Roman" w:eastAsia="黑体" w:cs="黑体"/>
          <w:color w:val="auto"/>
          <w:kern w:val="0"/>
          <w:sz w:val="32"/>
          <w:szCs w:val="32"/>
          <w:highlight w:val="none"/>
          <w:shd w:val="clear" w:color="auto" w:fill="FFFFFF"/>
          <w:lang w:val="zh-CN"/>
        </w:rPr>
      </w:pPr>
    </w:p>
    <w:p w14:paraId="01AE4EAB">
      <w:pPr>
        <w:pStyle w:val="5"/>
        <w:rPr>
          <w:rFonts w:hint="eastAsia" w:ascii="Times New Roman" w:hAnsi="Times New Roman" w:eastAsia="黑体" w:cs="黑体"/>
          <w:color w:val="auto"/>
          <w:kern w:val="0"/>
          <w:sz w:val="32"/>
          <w:szCs w:val="32"/>
          <w:highlight w:val="none"/>
          <w:shd w:val="clear" w:color="auto" w:fill="FFFFFF"/>
          <w:lang w:val="zh-CN"/>
        </w:rPr>
      </w:pPr>
    </w:p>
    <w:p w14:paraId="03BFDDB8">
      <w:pPr>
        <w:pStyle w:val="5"/>
        <w:rPr>
          <w:rFonts w:hint="eastAsia" w:ascii="Times New Roman" w:hAnsi="Times New Roman" w:eastAsia="黑体" w:cs="黑体"/>
          <w:color w:val="auto"/>
          <w:kern w:val="0"/>
          <w:sz w:val="32"/>
          <w:szCs w:val="32"/>
          <w:highlight w:val="none"/>
          <w:shd w:val="clear" w:color="auto" w:fill="FFFFFF"/>
          <w:lang w:val="zh-CN"/>
        </w:rPr>
      </w:pPr>
    </w:p>
    <w:p w14:paraId="6BBD1CE2">
      <w:pPr>
        <w:pStyle w:val="5"/>
        <w:rPr>
          <w:rFonts w:hint="eastAsia" w:ascii="Times New Roman" w:hAnsi="Times New Roman" w:eastAsia="黑体" w:cs="黑体"/>
          <w:color w:val="auto"/>
          <w:kern w:val="0"/>
          <w:sz w:val="32"/>
          <w:szCs w:val="32"/>
          <w:highlight w:val="none"/>
          <w:shd w:val="clear" w:color="auto" w:fill="FFFFFF"/>
          <w:lang w:val="zh-CN"/>
        </w:rPr>
      </w:pPr>
    </w:p>
    <w:p w14:paraId="6654AD85">
      <w:pPr>
        <w:pStyle w:val="5"/>
        <w:rPr>
          <w:rFonts w:hint="eastAsia" w:ascii="Times New Roman" w:hAnsi="Times New Roman" w:eastAsia="黑体" w:cs="黑体"/>
          <w:color w:val="auto"/>
          <w:kern w:val="0"/>
          <w:sz w:val="32"/>
          <w:szCs w:val="32"/>
          <w:highlight w:val="none"/>
          <w:shd w:val="clear" w:color="auto" w:fill="FFFFFF"/>
          <w:lang w:val="zh-CN"/>
        </w:rPr>
      </w:pPr>
    </w:p>
    <w:p w14:paraId="1CEC9591">
      <w:pPr>
        <w:pStyle w:val="5"/>
        <w:rPr>
          <w:rFonts w:hint="eastAsia" w:ascii="Times New Roman" w:hAnsi="Times New Roman" w:eastAsia="黑体" w:cs="黑体"/>
          <w:color w:val="auto"/>
          <w:kern w:val="0"/>
          <w:sz w:val="32"/>
          <w:szCs w:val="32"/>
          <w:highlight w:val="none"/>
          <w:shd w:val="clear" w:color="auto" w:fill="FFFFFF"/>
          <w:lang w:val="zh-CN"/>
        </w:rPr>
      </w:pPr>
    </w:p>
    <w:tbl>
      <w:tblPr>
        <w:tblStyle w:val="15"/>
        <w:tblW w:w="14504"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93"/>
        <w:gridCol w:w="1937"/>
        <w:gridCol w:w="1479"/>
        <w:gridCol w:w="3072"/>
        <w:gridCol w:w="698"/>
        <w:gridCol w:w="933"/>
        <w:gridCol w:w="592"/>
        <w:gridCol w:w="1777"/>
        <w:gridCol w:w="47"/>
        <w:gridCol w:w="945"/>
        <w:gridCol w:w="47"/>
        <w:gridCol w:w="945"/>
        <w:gridCol w:w="47"/>
        <w:gridCol w:w="950"/>
        <w:gridCol w:w="42"/>
      </w:tblGrid>
      <w:tr w14:paraId="0A40AF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2" w:type="dxa"/>
          <w:trHeight w:val="623" w:hRule="atLeast"/>
        </w:trPr>
        <w:tc>
          <w:tcPr>
            <w:tcW w:w="14462" w:type="dxa"/>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21D363A3">
            <w:pPr>
              <w:keepNext w:val="0"/>
              <w:keepLines w:val="0"/>
              <w:widowControl/>
              <w:suppressLineNumbers w:val="0"/>
              <w:jc w:val="center"/>
              <w:textAlignment w:val="center"/>
              <w:rPr>
                <w:rFonts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660814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2" w:type="dxa"/>
          <w:trHeight w:val="316" w:hRule="atLeast"/>
        </w:trPr>
        <w:tc>
          <w:tcPr>
            <w:tcW w:w="29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4708B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11532"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1FCFF61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政法智能化建设经费</w:t>
            </w:r>
          </w:p>
        </w:tc>
      </w:tr>
      <w:tr w14:paraId="42A8C8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2" w:type="dxa"/>
          <w:trHeight w:val="437" w:hRule="atLeast"/>
        </w:trPr>
        <w:tc>
          <w:tcPr>
            <w:tcW w:w="29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08CEC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677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B0C2D2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市委政法委</w:t>
            </w:r>
          </w:p>
        </w:tc>
        <w:tc>
          <w:tcPr>
            <w:tcW w:w="1777" w:type="dxa"/>
            <w:tcBorders>
              <w:top w:val="nil"/>
              <w:left w:val="nil"/>
              <w:bottom w:val="nil"/>
              <w:right w:val="nil"/>
            </w:tcBorders>
            <w:shd w:val="clear" w:color="auto" w:fill="auto"/>
            <w:vAlign w:val="center"/>
          </w:tcPr>
          <w:p w14:paraId="0E3657DD">
            <w:pPr>
              <w:keepNext w:val="0"/>
              <w:keepLines w:val="0"/>
              <w:widowControl/>
              <w:suppressLineNumbers w:val="0"/>
              <w:jc w:val="left"/>
              <w:textAlignment w:val="center"/>
              <w:rPr>
                <w:rFonts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298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200B6C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中共泸州市委政法委员会</w:t>
            </w:r>
          </w:p>
        </w:tc>
      </w:tr>
      <w:tr w14:paraId="4C3D40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2" w:type="dxa"/>
          <w:trHeight w:val="316" w:hRule="atLeast"/>
        </w:trPr>
        <w:tc>
          <w:tcPr>
            <w:tcW w:w="9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2F8A9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19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CDE17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677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797A69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758"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14CAA0A5">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597B27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2" w:type="dxa"/>
          <w:trHeight w:val="1244"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16B24E">
            <w:pPr>
              <w:rPr>
                <w:rFonts w:hint="eastAsia" w:ascii="宋体" w:hAnsi="宋体" w:eastAsia="宋体" w:cs="宋体"/>
                <w:i w:val="0"/>
                <w:iCs w:val="0"/>
                <w:color w:val="000000"/>
                <w:sz w:val="18"/>
                <w:szCs w:val="18"/>
                <w:u w:val="none"/>
              </w:rPr>
            </w:pPr>
          </w:p>
        </w:tc>
        <w:tc>
          <w:tcPr>
            <w:tcW w:w="19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D37AE4">
            <w:pPr>
              <w:rPr>
                <w:rFonts w:hint="eastAsia" w:ascii="宋体" w:hAnsi="宋体" w:eastAsia="宋体" w:cs="宋体"/>
                <w:i w:val="0"/>
                <w:iCs w:val="0"/>
                <w:color w:val="000000"/>
                <w:sz w:val="18"/>
                <w:szCs w:val="18"/>
                <w:u w:val="none"/>
              </w:rPr>
            </w:pPr>
          </w:p>
        </w:tc>
        <w:tc>
          <w:tcPr>
            <w:tcW w:w="677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66239A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政法专网租赁费、大调解信息网络服务费、长安网运行经费、全省政法系统办案平台运维费用、升级综治中心LED大屏、音响视频会议系统、平安泸州态势分析平台建设，推动综治中心实体化运行。</w:t>
            </w:r>
          </w:p>
        </w:tc>
        <w:tc>
          <w:tcPr>
            <w:tcW w:w="4758"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02A97780">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自评95分，2024年完成了各项任务。升级会议系统、搭建平安泸州态势分析平台2个，专网系统维护及运营数量7个，综治中心实体化运行达到95%，泸州政法网络安全治理水平率达到95%以上，政法系统对智能化建设满意度为95%。</w:t>
            </w:r>
          </w:p>
        </w:tc>
      </w:tr>
      <w:tr w14:paraId="572EF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2" w:type="dxa"/>
          <w:trHeight w:val="623"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8FD5E7">
            <w:pPr>
              <w:rPr>
                <w:rFonts w:hint="eastAsia" w:ascii="宋体" w:hAnsi="宋体" w:eastAsia="宋体" w:cs="宋体"/>
                <w:i w:val="0"/>
                <w:iCs w:val="0"/>
                <w:color w:val="000000"/>
                <w:sz w:val="18"/>
                <w:szCs w:val="18"/>
                <w:u w:val="none"/>
              </w:rPr>
            </w:pPr>
          </w:p>
        </w:tc>
        <w:tc>
          <w:tcPr>
            <w:tcW w:w="1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8582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11532"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22C0445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进行政法专网升级，构建高安全、高带宽的政法系统专用网络。建立信息大调解系统，整合资源提供线上调解服务。实现案件电子卷宗跨部门流转，减少纸质文书传递，提升办案效率。邀请技术专家论证方案，确定项目方案，选择部门区县或部门进行麻点。技术成熟后向全市推广。</w:t>
            </w:r>
          </w:p>
        </w:tc>
      </w:tr>
      <w:tr w14:paraId="39B451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2" w:type="dxa"/>
          <w:trHeight w:val="316" w:hRule="atLeast"/>
        </w:trPr>
        <w:tc>
          <w:tcPr>
            <w:tcW w:w="9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73BF6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1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4CF2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845D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3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5BA7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222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40D9D0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2C2F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9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9834A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9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DC6E6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9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A0AD1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00C986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2" w:type="dxa"/>
          <w:trHeight w:val="316"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AE9B2F">
            <w:pPr>
              <w:jc w:val="center"/>
              <w:rPr>
                <w:rFonts w:hint="eastAsia" w:ascii="宋体" w:hAnsi="宋体" w:eastAsia="宋体" w:cs="宋体"/>
                <w:i w:val="0"/>
                <w:iCs w:val="0"/>
                <w:color w:val="000000"/>
                <w:sz w:val="18"/>
                <w:szCs w:val="18"/>
                <w:u w:val="none"/>
              </w:rPr>
            </w:pPr>
          </w:p>
        </w:tc>
        <w:tc>
          <w:tcPr>
            <w:tcW w:w="1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1BE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9F48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30.00</w:t>
            </w:r>
          </w:p>
        </w:tc>
        <w:tc>
          <w:tcPr>
            <w:tcW w:w="3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9BF3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30.00</w:t>
            </w:r>
          </w:p>
        </w:tc>
        <w:tc>
          <w:tcPr>
            <w:tcW w:w="222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3227C4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30.00</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2E71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9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9E668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9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C7F49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997"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D2EF0D">
            <w:pPr>
              <w:rPr>
                <w:rFonts w:hint="eastAsia" w:ascii="黑体" w:hAnsi="黑体" w:eastAsia="黑体" w:cs="黑体"/>
                <w:i/>
                <w:iCs/>
                <w:color w:val="000000"/>
                <w:sz w:val="18"/>
                <w:szCs w:val="18"/>
                <w:u w:val="none"/>
              </w:rPr>
            </w:pPr>
          </w:p>
        </w:tc>
      </w:tr>
      <w:tr w14:paraId="763555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2" w:type="dxa"/>
          <w:trHeight w:val="316"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E88AC5">
            <w:pPr>
              <w:jc w:val="center"/>
              <w:rPr>
                <w:rFonts w:hint="eastAsia" w:ascii="宋体" w:hAnsi="宋体" w:eastAsia="宋体" w:cs="宋体"/>
                <w:i w:val="0"/>
                <w:iCs w:val="0"/>
                <w:color w:val="000000"/>
                <w:sz w:val="18"/>
                <w:szCs w:val="18"/>
                <w:u w:val="none"/>
              </w:rPr>
            </w:pPr>
          </w:p>
        </w:tc>
        <w:tc>
          <w:tcPr>
            <w:tcW w:w="1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C37E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FE3E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30.00</w:t>
            </w:r>
          </w:p>
        </w:tc>
        <w:tc>
          <w:tcPr>
            <w:tcW w:w="3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A52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30.00</w:t>
            </w:r>
          </w:p>
        </w:tc>
        <w:tc>
          <w:tcPr>
            <w:tcW w:w="222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CEE3F3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30.00</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6B64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9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B07E2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2776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9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15AAAC">
            <w:pPr>
              <w:rPr>
                <w:rFonts w:hint="eastAsia" w:ascii="黑体" w:hAnsi="黑体" w:eastAsia="黑体" w:cs="黑体"/>
                <w:i/>
                <w:iCs/>
                <w:color w:val="000000"/>
                <w:sz w:val="18"/>
                <w:szCs w:val="18"/>
                <w:u w:val="none"/>
              </w:rPr>
            </w:pPr>
          </w:p>
        </w:tc>
      </w:tr>
      <w:tr w14:paraId="59BA98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2" w:type="dxa"/>
          <w:trHeight w:val="316"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A2339F">
            <w:pPr>
              <w:jc w:val="center"/>
              <w:rPr>
                <w:rFonts w:hint="eastAsia" w:ascii="宋体" w:hAnsi="宋体" w:eastAsia="宋体" w:cs="宋体"/>
                <w:i w:val="0"/>
                <w:iCs w:val="0"/>
                <w:color w:val="000000"/>
                <w:sz w:val="18"/>
                <w:szCs w:val="18"/>
                <w:u w:val="none"/>
              </w:rPr>
            </w:pPr>
          </w:p>
        </w:tc>
        <w:tc>
          <w:tcPr>
            <w:tcW w:w="1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4466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C2F6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3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4B150">
            <w:pPr>
              <w:jc w:val="center"/>
              <w:rPr>
                <w:rFonts w:hint="eastAsia" w:ascii="宋体" w:hAnsi="宋体" w:eastAsia="宋体" w:cs="宋体"/>
                <w:i w:val="0"/>
                <w:iCs w:val="0"/>
                <w:color w:val="000000"/>
                <w:sz w:val="18"/>
                <w:szCs w:val="18"/>
                <w:u w:val="none"/>
              </w:rPr>
            </w:pPr>
          </w:p>
        </w:tc>
        <w:tc>
          <w:tcPr>
            <w:tcW w:w="222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7378B3F">
            <w:pPr>
              <w:jc w:val="center"/>
              <w:rPr>
                <w:rFonts w:hint="eastAsia" w:ascii="宋体" w:hAnsi="宋体" w:eastAsia="宋体" w:cs="宋体"/>
                <w:i w:val="0"/>
                <w:iCs w:val="0"/>
                <w:color w:val="000000"/>
                <w:sz w:val="18"/>
                <w:szCs w:val="18"/>
                <w:u w:val="none"/>
              </w:rPr>
            </w:pP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0EFF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21EAA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CA885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9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2B2A43">
            <w:pPr>
              <w:rPr>
                <w:rFonts w:hint="eastAsia" w:ascii="黑体" w:hAnsi="黑体" w:eastAsia="黑体" w:cs="黑体"/>
                <w:i/>
                <w:iCs/>
                <w:color w:val="000000"/>
                <w:sz w:val="18"/>
                <w:szCs w:val="18"/>
                <w:u w:val="none"/>
              </w:rPr>
            </w:pPr>
          </w:p>
        </w:tc>
      </w:tr>
      <w:tr w14:paraId="2BA44E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2" w:type="dxa"/>
          <w:trHeight w:val="316"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01E68F">
            <w:pPr>
              <w:jc w:val="center"/>
              <w:rPr>
                <w:rFonts w:hint="eastAsia" w:ascii="宋体" w:hAnsi="宋体" w:eastAsia="宋体" w:cs="宋体"/>
                <w:i w:val="0"/>
                <w:iCs w:val="0"/>
                <w:color w:val="000000"/>
                <w:sz w:val="18"/>
                <w:szCs w:val="18"/>
                <w:u w:val="none"/>
              </w:rPr>
            </w:pPr>
          </w:p>
        </w:tc>
        <w:tc>
          <w:tcPr>
            <w:tcW w:w="1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39D7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A1E0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3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1149E">
            <w:pPr>
              <w:jc w:val="center"/>
              <w:rPr>
                <w:rFonts w:hint="eastAsia" w:ascii="宋体" w:hAnsi="宋体" w:eastAsia="宋体" w:cs="宋体"/>
                <w:i w:val="0"/>
                <w:iCs w:val="0"/>
                <w:color w:val="000000"/>
                <w:sz w:val="18"/>
                <w:szCs w:val="18"/>
                <w:u w:val="none"/>
              </w:rPr>
            </w:pPr>
          </w:p>
        </w:tc>
        <w:tc>
          <w:tcPr>
            <w:tcW w:w="222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6680FF3">
            <w:pPr>
              <w:jc w:val="center"/>
              <w:rPr>
                <w:rFonts w:hint="eastAsia" w:ascii="宋体" w:hAnsi="宋体" w:eastAsia="宋体" w:cs="宋体"/>
                <w:i w:val="0"/>
                <w:iCs w:val="0"/>
                <w:color w:val="000000"/>
                <w:sz w:val="18"/>
                <w:szCs w:val="18"/>
                <w:u w:val="none"/>
              </w:rPr>
            </w:pP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3CD1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D231E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54931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9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9006CB">
            <w:pPr>
              <w:rPr>
                <w:rFonts w:hint="eastAsia" w:ascii="黑体" w:hAnsi="黑体" w:eastAsia="黑体" w:cs="黑体"/>
                <w:i/>
                <w:iCs/>
                <w:color w:val="000000"/>
                <w:sz w:val="18"/>
                <w:szCs w:val="18"/>
                <w:u w:val="none"/>
              </w:rPr>
            </w:pPr>
          </w:p>
        </w:tc>
      </w:tr>
      <w:tr w14:paraId="3C0B4A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2" w:type="dxa"/>
          <w:trHeight w:val="316"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D16A75">
            <w:pPr>
              <w:jc w:val="center"/>
              <w:rPr>
                <w:rFonts w:hint="eastAsia" w:ascii="宋体" w:hAnsi="宋体" w:eastAsia="宋体" w:cs="宋体"/>
                <w:i w:val="0"/>
                <w:iCs w:val="0"/>
                <w:color w:val="000000"/>
                <w:sz w:val="18"/>
                <w:szCs w:val="18"/>
                <w:u w:val="none"/>
              </w:rPr>
            </w:pPr>
          </w:p>
        </w:tc>
        <w:tc>
          <w:tcPr>
            <w:tcW w:w="1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25F4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13DE7">
            <w:pPr>
              <w:jc w:val="center"/>
              <w:rPr>
                <w:rFonts w:hint="eastAsia" w:ascii="微软雅黑" w:hAnsi="微软雅黑" w:eastAsia="微软雅黑" w:cs="微软雅黑"/>
                <w:i/>
                <w:iCs/>
                <w:color w:val="000000"/>
                <w:sz w:val="16"/>
                <w:szCs w:val="16"/>
                <w:u w:val="none"/>
              </w:rPr>
            </w:pPr>
          </w:p>
        </w:tc>
        <w:tc>
          <w:tcPr>
            <w:tcW w:w="3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4CD0F">
            <w:pPr>
              <w:jc w:val="center"/>
              <w:rPr>
                <w:rFonts w:hint="eastAsia" w:ascii="微软雅黑" w:hAnsi="微软雅黑" w:eastAsia="微软雅黑" w:cs="微软雅黑"/>
                <w:i/>
                <w:iCs/>
                <w:color w:val="000000"/>
                <w:sz w:val="16"/>
                <w:szCs w:val="16"/>
                <w:u w:val="none"/>
              </w:rPr>
            </w:pPr>
          </w:p>
        </w:tc>
        <w:tc>
          <w:tcPr>
            <w:tcW w:w="222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8722E2D">
            <w:pPr>
              <w:jc w:val="center"/>
              <w:rPr>
                <w:rFonts w:hint="eastAsia" w:ascii="微软雅黑" w:hAnsi="微软雅黑" w:eastAsia="微软雅黑" w:cs="微软雅黑"/>
                <w:i/>
                <w:iCs/>
                <w:color w:val="000000"/>
                <w:sz w:val="16"/>
                <w:szCs w:val="16"/>
                <w:u w:val="none"/>
              </w:rPr>
            </w:pP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3522D">
            <w:pPr>
              <w:jc w:val="center"/>
              <w:rPr>
                <w:rFonts w:hint="eastAsia" w:ascii="微软雅黑" w:hAnsi="微软雅黑" w:eastAsia="微软雅黑" w:cs="微软雅黑"/>
                <w:i/>
                <w:iCs/>
                <w:color w:val="000000"/>
                <w:sz w:val="16"/>
                <w:szCs w:val="16"/>
                <w:u w:val="none"/>
              </w:rPr>
            </w:pPr>
          </w:p>
        </w:tc>
        <w:tc>
          <w:tcPr>
            <w:tcW w:w="9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DD0AC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5297E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9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C4C4B0">
            <w:pPr>
              <w:rPr>
                <w:rFonts w:hint="eastAsia" w:ascii="黑体" w:hAnsi="黑体" w:eastAsia="黑体" w:cs="黑体"/>
                <w:i/>
                <w:iCs/>
                <w:color w:val="000000"/>
                <w:sz w:val="18"/>
                <w:szCs w:val="18"/>
                <w:u w:val="none"/>
              </w:rPr>
            </w:pPr>
          </w:p>
        </w:tc>
      </w:tr>
      <w:tr w14:paraId="19DD1C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35" w:hRule="atLeast"/>
        </w:trPr>
        <w:tc>
          <w:tcPr>
            <w:tcW w:w="9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45010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1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DF52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E97A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3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67D9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E0D9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69BD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02C5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8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87B3F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9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22CF0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9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76BB0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9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85736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62B55B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3"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951B07">
            <w:pPr>
              <w:jc w:val="center"/>
              <w:rPr>
                <w:rFonts w:hint="eastAsia" w:ascii="宋体" w:hAnsi="宋体" w:eastAsia="宋体" w:cs="宋体"/>
                <w:i w:val="0"/>
                <w:iCs w:val="0"/>
                <w:color w:val="000000"/>
                <w:sz w:val="18"/>
                <w:szCs w:val="18"/>
                <w:u w:val="none"/>
              </w:rPr>
            </w:pPr>
          </w:p>
        </w:tc>
        <w:tc>
          <w:tcPr>
            <w:tcW w:w="1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5FD8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产出指标</w:t>
            </w:r>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E871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数量指标</w:t>
            </w:r>
          </w:p>
        </w:tc>
        <w:tc>
          <w:tcPr>
            <w:tcW w:w="3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D5F3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升级会议系统、搭建平安泸州态势分析平台</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B7C0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3712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80ED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8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F5517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9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63AF9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9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87BF2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11</w:t>
            </w:r>
          </w:p>
        </w:tc>
        <w:tc>
          <w:tcPr>
            <w:tcW w:w="9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B30900">
            <w:pPr>
              <w:jc w:val="center"/>
              <w:rPr>
                <w:rFonts w:hint="eastAsia" w:ascii="宋体" w:hAnsi="宋体" w:eastAsia="宋体" w:cs="宋体"/>
                <w:i w:val="0"/>
                <w:iCs w:val="0"/>
                <w:color w:val="000000"/>
                <w:sz w:val="18"/>
                <w:szCs w:val="18"/>
                <w:u w:val="none"/>
              </w:rPr>
            </w:pPr>
          </w:p>
        </w:tc>
      </w:tr>
      <w:tr w14:paraId="6339A2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4"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A85BB5">
            <w:pPr>
              <w:jc w:val="center"/>
              <w:rPr>
                <w:rFonts w:hint="eastAsia" w:ascii="宋体" w:hAnsi="宋体" w:eastAsia="宋体" w:cs="宋体"/>
                <w:i w:val="0"/>
                <w:iCs w:val="0"/>
                <w:color w:val="000000"/>
                <w:sz w:val="18"/>
                <w:szCs w:val="18"/>
                <w:u w:val="none"/>
              </w:rPr>
            </w:pPr>
          </w:p>
        </w:tc>
        <w:tc>
          <w:tcPr>
            <w:tcW w:w="1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F530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产出指标</w:t>
            </w:r>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7A9D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数量指标</w:t>
            </w:r>
          </w:p>
        </w:tc>
        <w:tc>
          <w:tcPr>
            <w:tcW w:w="3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C0D5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专网系统维护及运营数量</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4E77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F760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w:t>
            </w:r>
          </w:p>
        </w:tc>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474F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8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856A0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w:t>
            </w:r>
          </w:p>
        </w:tc>
        <w:tc>
          <w:tcPr>
            <w:tcW w:w="9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91DE6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9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949A9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11</w:t>
            </w:r>
          </w:p>
        </w:tc>
        <w:tc>
          <w:tcPr>
            <w:tcW w:w="9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34842F">
            <w:pPr>
              <w:jc w:val="center"/>
              <w:rPr>
                <w:rFonts w:hint="eastAsia" w:ascii="宋体" w:hAnsi="宋体" w:eastAsia="宋体" w:cs="宋体"/>
                <w:i w:val="0"/>
                <w:iCs w:val="0"/>
                <w:color w:val="000000"/>
                <w:sz w:val="18"/>
                <w:szCs w:val="18"/>
                <w:u w:val="none"/>
              </w:rPr>
            </w:pPr>
          </w:p>
        </w:tc>
      </w:tr>
      <w:tr w14:paraId="437863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4"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08B084">
            <w:pPr>
              <w:jc w:val="center"/>
              <w:rPr>
                <w:rFonts w:hint="eastAsia" w:ascii="宋体" w:hAnsi="宋体" w:eastAsia="宋体" w:cs="宋体"/>
                <w:i w:val="0"/>
                <w:iCs w:val="0"/>
                <w:color w:val="000000"/>
                <w:sz w:val="18"/>
                <w:szCs w:val="18"/>
                <w:u w:val="none"/>
              </w:rPr>
            </w:pPr>
          </w:p>
        </w:tc>
        <w:tc>
          <w:tcPr>
            <w:tcW w:w="1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A7D1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产出指标</w:t>
            </w:r>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B4A7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质量指标</w:t>
            </w:r>
          </w:p>
        </w:tc>
        <w:tc>
          <w:tcPr>
            <w:tcW w:w="3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4F43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平台系统建设搭建维护合格率</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0CE4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7E33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98</w:t>
            </w:r>
          </w:p>
        </w:tc>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EC45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w:t>
            </w:r>
          </w:p>
        </w:tc>
        <w:tc>
          <w:tcPr>
            <w:tcW w:w="18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77602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98</w:t>
            </w:r>
          </w:p>
        </w:tc>
        <w:tc>
          <w:tcPr>
            <w:tcW w:w="9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145D0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9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C37AE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11</w:t>
            </w:r>
          </w:p>
        </w:tc>
        <w:tc>
          <w:tcPr>
            <w:tcW w:w="9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5A12DA">
            <w:pPr>
              <w:jc w:val="center"/>
              <w:rPr>
                <w:rFonts w:hint="eastAsia" w:ascii="宋体" w:hAnsi="宋体" w:eastAsia="宋体" w:cs="宋体"/>
                <w:i w:val="0"/>
                <w:iCs w:val="0"/>
                <w:color w:val="000000"/>
                <w:sz w:val="18"/>
                <w:szCs w:val="18"/>
                <w:u w:val="none"/>
              </w:rPr>
            </w:pPr>
          </w:p>
        </w:tc>
      </w:tr>
      <w:tr w14:paraId="6FC9C5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4"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F6EBBB">
            <w:pPr>
              <w:jc w:val="center"/>
              <w:rPr>
                <w:rFonts w:hint="eastAsia" w:ascii="宋体" w:hAnsi="宋体" w:eastAsia="宋体" w:cs="宋体"/>
                <w:i w:val="0"/>
                <w:iCs w:val="0"/>
                <w:color w:val="000000"/>
                <w:sz w:val="18"/>
                <w:szCs w:val="18"/>
                <w:u w:val="none"/>
              </w:rPr>
            </w:pPr>
          </w:p>
        </w:tc>
        <w:tc>
          <w:tcPr>
            <w:tcW w:w="1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11DE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产出指标</w:t>
            </w:r>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1EDD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时效指标</w:t>
            </w:r>
          </w:p>
        </w:tc>
        <w:tc>
          <w:tcPr>
            <w:tcW w:w="3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7B72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年底保质保量完成</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5C32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4424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F2CF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w:t>
            </w:r>
          </w:p>
        </w:tc>
        <w:tc>
          <w:tcPr>
            <w:tcW w:w="18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84210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9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689A0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9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F7366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11</w:t>
            </w:r>
          </w:p>
        </w:tc>
        <w:tc>
          <w:tcPr>
            <w:tcW w:w="9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7FA518">
            <w:pPr>
              <w:jc w:val="center"/>
              <w:rPr>
                <w:rFonts w:hint="eastAsia" w:ascii="宋体" w:hAnsi="宋体" w:eastAsia="宋体" w:cs="宋体"/>
                <w:i w:val="0"/>
                <w:iCs w:val="0"/>
                <w:color w:val="000000"/>
                <w:sz w:val="18"/>
                <w:szCs w:val="18"/>
                <w:u w:val="none"/>
              </w:rPr>
            </w:pPr>
          </w:p>
        </w:tc>
      </w:tr>
      <w:tr w14:paraId="508A61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3"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5EDAEF">
            <w:pPr>
              <w:jc w:val="center"/>
              <w:rPr>
                <w:rFonts w:hint="eastAsia" w:ascii="宋体" w:hAnsi="宋体" w:eastAsia="宋体" w:cs="宋体"/>
                <w:i w:val="0"/>
                <w:iCs w:val="0"/>
                <w:color w:val="000000"/>
                <w:sz w:val="18"/>
                <w:szCs w:val="18"/>
                <w:u w:val="none"/>
              </w:rPr>
            </w:pPr>
          </w:p>
        </w:tc>
        <w:tc>
          <w:tcPr>
            <w:tcW w:w="1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B527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效益指标</w:t>
            </w:r>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8F50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可持续发展指标</w:t>
            </w:r>
          </w:p>
        </w:tc>
        <w:tc>
          <w:tcPr>
            <w:tcW w:w="3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A8DA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综治中心实体化运行率95%以上为高，90%-95%为中，小于90%为低</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BADF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定性</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FBA4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高</w:t>
            </w:r>
          </w:p>
        </w:tc>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130A9">
            <w:pPr>
              <w:jc w:val="center"/>
              <w:rPr>
                <w:rFonts w:hint="eastAsia" w:ascii="宋体" w:hAnsi="宋体" w:eastAsia="宋体" w:cs="宋体"/>
                <w:i w:val="0"/>
                <w:iCs w:val="0"/>
                <w:color w:val="000000"/>
                <w:sz w:val="16"/>
                <w:szCs w:val="16"/>
                <w:u w:val="none"/>
              </w:rPr>
            </w:pPr>
          </w:p>
        </w:tc>
        <w:tc>
          <w:tcPr>
            <w:tcW w:w="18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46CAE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高</w:t>
            </w:r>
          </w:p>
        </w:tc>
        <w:tc>
          <w:tcPr>
            <w:tcW w:w="9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D3F82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9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C3531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9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CA2749">
            <w:pPr>
              <w:jc w:val="center"/>
              <w:rPr>
                <w:rFonts w:hint="eastAsia" w:ascii="宋体" w:hAnsi="宋体" w:eastAsia="宋体" w:cs="宋体"/>
                <w:i w:val="0"/>
                <w:iCs w:val="0"/>
                <w:color w:val="000000"/>
                <w:sz w:val="18"/>
                <w:szCs w:val="18"/>
                <w:u w:val="none"/>
              </w:rPr>
            </w:pPr>
          </w:p>
        </w:tc>
      </w:tr>
      <w:tr w14:paraId="39C788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3"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A429A1">
            <w:pPr>
              <w:jc w:val="center"/>
              <w:rPr>
                <w:rFonts w:hint="eastAsia" w:ascii="宋体" w:hAnsi="宋体" w:eastAsia="宋体" w:cs="宋体"/>
                <w:i w:val="0"/>
                <w:iCs w:val="0"/>
                <w:color w:val="000000"/>
                <w:sz w:val="18"/>
                <w:szCs w:val="18"/>
                <w:u w:val="none"/>
              </w:rPr>
            </w:pPr>
          </w:p>
        </w:tc>
        <w:tc>
          <w:tcPr>
            <w:tcW w:w="1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4F5C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效益指标</w:t>
            </w:r>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73CE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可持续影响指标</w:t>
            </w:r>
          </w:p>
        </w:tc>
        <w:tc>
          <w:tcPr>
            <w:tcW w:w="3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9D2B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泸州政法网络安全治理水平率95%以上为高，90%-95%为中，小于90%为低</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EE78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定性</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7EF4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高</w:t>
            </w:r>
          </w:p>
        </w:tc>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208C1">
            <w:pPr>
              <w:jc w:val="center"/>
              <w:rPr>
                <w:rFonts w:hint="eastAsia" w:ascii="宋体" w:hAnsi="宋体" w:eastAsia="宋体" w:cs="宋体"/>
                <w:i w:val="0"/>
                <w:iCs w:val="0"/>
                <w:color w:val="000000"/>
                <w:sz w:val="16"/>
                <w:szCs w:val="16"/>
                <w:u w:val="none"/>
              </w:rPr>
            </w:pPr>
          </w:p>
        </w:tc>
        <w:tc>
          <w:tcPr>
            <w:tcW w:w="18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DB66C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高</w:t>
            </w:r>
          </w:p>
        </w:tc>
        <w:tc>
          <w:tcPr>
            <w:tcW w:w="9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EAF14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9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FA7BE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9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E612B8">
            <w:pPr>
              <w:jc w:val="center"/>
              <w:rPr>
                <w:rFonts w:hint="eastAsia" w:ascii="宋体" w:hAnsi="宋体" w:eastAsia="宋体" w:cs="宋体"/>
                <w:i w:val="0"/>
                <w:iCs w:val="0"/>
                <w:color w:val="000000"/>
                <w:sz w:val="18"/>
                <w:szCs w:val="18"/>
                <w:u w:val="none"/>
              </w:rPr>
            </w:pPr>
          </w:p>
        </w:tc>
      </w:tr>
      <w:tr w14:paraId="576F3F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3"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743960">
            <w:pPr>
              <w:jc w:val="center"/>
              <w:rPr>
                <w:rFonts w:hint="eastAsia" w:ascii="宋体" w:hAnsi="宋体" w:eastAsia="宋体" w:cs="宋体"/>
                <w:i w:val="0"/>
                <w:iCs w:val="0"/>
                <w:color w:val="000000"/>
                <w:sz w:val="18"/>
                <w:szCs w:val="18"/>
                <w:u w:val="none"/>
              </w:rPr>
            </w:pPr>
          </w:p>
        </w:tc>
        <w:tc>
          <w:tcPr>
            <w:tcW w:w="1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FC67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FC01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服务对象满意度指标</w:t>
            </w:r>
          </w:p>
        </w:tc>
        <w:tc>
          <w:tcPr>
            <w:tcW w:w="3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3574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政法系统对智能化建设满意度95%以上为高，90%-95%为中，小于90%为低</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E667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定性</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8A20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同</w:t>
            </w:r>
          </w:p>
        </w:tc>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2D87B">
            <w:pPr>
              <w:jc w:val="center"/>
              <w:rPr>
                <w:rFonts w:hint="eastAsia" w:ascii="宋体" w:hAnsi="宋体" w:eastAsia="宋体" w:cs="宋体"/>
                <w:i w:val="0"/>
                <w:iCs w:val="0"/>
                <w:color w:val="000000"/>
                <w:sz w:val="16"/>
                <w:szCs w:val="16"/>
                <w:u w:val="none"/>
              </w:rPr>
            </w:pPr>
          </w:p>
        </w:tc>
        <w:tc>
          <w:tcPr>
            <w:tcW w:w="18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F94CA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同</w:t>
            </w:r>
          </w:p>
        </w:tc>
        <w:tc>
          <w:tcPr>
            <w:tcW w:w="9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0FAD3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9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09CE4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9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B1EBEA">
            <w:pPr>
              <w:jc w:val="center"/>
              <w:rPr>
                <w:rFonts w:hint="eastAsia" w:ascii="宋体" w:hAnsi="宋体" w:eastAsia="宋体" w:cs="宋体"/>
                <w:i w:val="0"/>
                <w:iCs w:val="0"/>
                <w:color w:val="000000"/>
                <w:sz w:val="18"/>
                <w:szCs w:val="18"/>
                <w:u w:val="none"/>
              </w:rPr>
            </w:pPr>
          </w:p>
        </w:tc>
      </w:tr>
      <w:tr w14:paraId="2ADD53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47"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BD71F9">
            <w:pPr>
              <w:jc w:val="center"/>
              <w:rPr>
                <w:rFonts w:hint="eastAsia" w:ascii="宋体" w:hAnsi="宋体" w:eastAsia="宋体" w:cs="宋体"/>
                <w:i w:val="0"/>
                <w:iCs w:val="0"/>
                <w:color w:val="000000"/>
                <w:sz w:val="18"/>
                <w:szCs w:val="18"/>
                <w:u w:val="none"/>
              </w:rPr>
            </w:pPr>
          </w:p>
        </w:tc>
        <w:tc>
          <w:tcPr>
            <w:tcW w:w="1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1C62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6B07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经济成本指标</w:t>
            </w:r>
          </w:p>
        </w:tc>
        <w:tc>
          <w:tcPr>
            <w:tcW w:w="3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465A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大调解信息系统维护费</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715D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1B51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w:t>
            </w:r>
          </w:p>
        </w:tc>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FD3D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万元/每项目</w:t>
            </w:r>
          </w:p>
        </w:tc>
        <w:tc>
          <w:tcPr>
            <w:tcW w:w="18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2DFFD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w:t>
            </w:r>
          </w:p>
        </w:tc>
        <w:tc>
          <w:tcPr>
            <w:tcW w:w="9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3F82D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c>
          <w:tcPr>
            <w:tcW w:w="9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06F51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w:t>
            </w:r>
          </w:p>
        </w:tc>
        <w:tc>
          <w:tcPr>
            <w:tcW w:w="9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1395E1">
            <w:pPr>
              <w:jc w:val="center"/>
              <w:rPr>
                <w:rFonts w:hint="eastAsia" w:ascii="宋体" w:hAnsi="宋体" w:eastAsia="宋体" w:cs="宋体"/>
                <w:i w:val="0"/>
                <w:iCs w:val="0"/>
                <w:color w:val="000000"/>
                <w:sz w:val="18"/>
                <w:szCs w:val="18"/>
                <w:u w:val="none"/>
              </w:rPr>
            </w:pPr>
          </w:p>
        </w:tc>
      </w:tr>
      <w:tr w14:paraId="0531C5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47"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9C6C16">
            <w:pPr>
              <w:jc w:val="center"/>
              <w:rPr>
                <w:rFonts w:hint="eastAsia" w:ascii="宋体" w:hAnsi="宋体" w:eastAsia="宋体" w:cs="宋体"/>
                <w:i w:val="0"/>
                <w:iCs w:val="0"/>
                <w:color w:val="000000"/>
                <w:sz w:val="18"/>
                <w:szCs w:val="18"/>
                <w:u w:val="none"/>
              </w:rPr>
            </w:pPr>
          </w:p>
        </w:tc>
        <w:tc>
          <w:tcPr>
            <w:tcW w:w="1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884F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5DE0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经济成本指标</w:t>
            </w:r>
          </w:p>
        </w:tc>
        <w:tc>
          <w:tcPr>
            <w:tcW w:w="3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7246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与长安网运营费</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CAA7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F84C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4B34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万元/每项目</w:t>
            </w:r>
          </w:p>
        </w:tc>
        <w:tc>
          <w:tcPr>
            <w:tcW w:w="18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39B17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9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18FC7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c>
          <w:tcPr>
            <w:tcW w:w="9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277C4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c>
          <w:tcPr>
            <w:tcW w:w="9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D34943">
            <w:pPr>
              <w:jc w:val="center"/>
              <w:rPr>
                <w:rFonts w:hint="eastAsia" w:ascii="宋体" w:hAnsi="宋体" w:eastAsia="宋体" w:cs="宋体"/>
                <w:i w:val="0"/>
                <w:iCs w:val="0"/>
                <w:color w:val="000000"/>
                <w:sz w:val="18"/>
                <w:szCs w:val="18"/>
                <w:u w:val="none"/>
              </w:rPr>
            </w:pPr>
          </w:p>
        </w:tc>
      </w:tr>
      <w:tr w14:paraId="7F7EC2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47"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B5B6AA">
            <w:pPr>
              <w:jc w:val="center"/>
              <w:rPr>
                <w:rFonts w:hint="eastAsia" w:ascii="宋体" w:hAnsi="宋体" w:eastAsia="宋体" w:cs="宋体"/>
                <w:i w:val="0"/>
                <w:iCs w:val="0"/>
                <w:color w:val="000000"/>
                <w:sz w:val="18"/>
                <w:szCs w:val="18"/>
                <w:u w:val="none"/>
              </w:rPr>
            </w:pPr>
          </w:p>
        </w:tc>
        <w:tc>
          <w:tcPr>
            <w:tcW w:w="1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4878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5807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经济成本指标</w:t>
            </w:r>
          </w:p>
        </w:tc>
        <w:tc>
          <w:tcPr>
            <w:tcW w:w="3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BC1A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政法系统跨部门办案平台应用成效提升服务运维费</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738D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3C8B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w:t>
            </w:r>
          </w:p>
        </w:tc>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9ECF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万元/每项目</w:t>
            </w:r>
          </w:p>
        </w:tc>
        <w:tc>
          <w:tcPr>
            <w:tcW w:w="18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5B890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w:t>
            </w:r>
          </w:p>
        </w:tc>
        <w:tc>
          <w:tcPr>
            <w:tcW w:w="9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10A80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c>
          <w:tcPr>
            <w:tcW w:w="9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5570C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c>
          <w:tcPr>
            <w:tcW w:w="9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21079D">
            <w:pPr>
              <w:jc w:val="center"/>
              <w:rPr>
                <w:rFonts w:hint="eastAsia" w:ascii="宋体" w:hAnsi="宋体" w:eastAsia="宋体" w:cs="宋体"/>
                <w:i w:val="0"/>
                <w:iCs w:val="0"/>
                <w:color w:val="000000"/>
                <w:sz w:val="18"/>
                <w:szCs w:val="18"/>
                <w:u w:val="none"/>
              </w:rPr>
            </w:pPr>
          </w:p>
        </w:tc>
      </w:tr>
      <w:tr w14:paraId="66E63C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6"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C0D1DB">
            <w:pPr>
              <w:jc w:val="center"/>
              <w:rPr>
                <w:rFonts w:hint="eastAsia" w:ascii="宋体" w:hAnsi="宋体" w:eastAsia="宋体" w:cs="宋体"/>
                <w:i w:val="0"/>
                <w:iCs w:val="0"/>
                <w:color w:val="000000"/>
                <w:sz w:val="18"/>
                <w:szCs w:val="18"/>
                <w:u w:val="none"/>
              </w:rPr>
            </w:pPr>
          </w:p>
        </w:tc>
        <w:tc>
          <w:tcPr>
            <w:tcW w:w="1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5EC5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2496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经济成本指标</w:t>
            </w:r>
          </w:p>
        </w:tc>
        <w:tc>
          <w:tcPr>
            <w:tcW w:w="3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394A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政法专网线路租赁费</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ACA3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3EB3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w:t>
            </w:r>
          </w:p>
        </w:tc>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EC10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万元/每项目</w:t>
            </w:r>
          </w:p>
        </w:tc>
        <w:tc>
          <w:tcPr>
            <w:tcW w:w="18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5411F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w:t>
            </w:r>
          </w:p>
        </w:tc>
        <w:tc>
          <w:tcPr>
            <w:tcW w:w="9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D6C58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c>
          <w:tcPr>
            <w:tcW w:w="9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49EF1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c>
          <w:tcPr>
            <w:tcW w:w="9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58DF7E">
            <w:pPr>
              <w:jc w:val="center"/>
              <w:rPr>
                <w:rFonts w:hint="eastAsia" w:ascii="宋体" w:hAnsi="宋体" w:eastAsia="宋体" w:cs="宋体"/>
                <w:i w:val="0"/>
                <w:iCs w:val="0"/>
                <w:color w:val="000000"/>
                <w:sz w:val="18"/>
                <w:szCs w:val="18"/>
                <w:u w:val="none"/>
              </w:rPr>
            </w:pPr>
          </w:p>
        </w:tc>
      </w:tr>
      <w:tr w14:paraId="1E2276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2" w:type="dxa"/>
          <w:trHeight w:val="316" w:hRule="atLeast"/>
        </w:trPr>
        <w:tc>
          <w:tcPr>
            <w:tcW w:w="1148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39DE9E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9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8D417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9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3BCE0A">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9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888D00">
            <w:pPr>
              <w:rPr>
                <w:rFonts w:hint="eastAsia" w:ascii="宋体" w:hAnsi="宋体" w:eastAsia="宋体" w:cs="宋体"/>
                <w:i w:val="0"/>
                <w:iCs w:val="0"/>
                <w:color w:val="000000"/>
                <w:sz w:val="18"/>
                <w:szCs w:val="18"/>
                <w:u w:val="none"/>
              </w:rPr>
            </w:pPr>
          </w:p>
        </w:tc>
      </w:tr>
      <w:tr w14:paraId="4DF711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2" w:type="dxa"/>
          <w:trHeight w:val="521" w:hRule="atLeast"/>
        </w:trPr>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4A94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13469"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50C20990">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项目自评总分为95分。项目实施后业务效率显著提升，跨部门协同提速，智能辅助减负。治安防控得到提升，矛盾化解，处理纠纷成功率提升。群众满意度提高 ，群众 安全感提升。</w:t>
            </w:r>
          </w:p>
        </w:tc>
      </w:tr>
      <w:tr w14:paraId="18308A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2" w:type="dxa"/>
          <w:trHeight w:val="316" w:hRule="atLeast"/>
        </w:trPr>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8EA8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13469"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2E546D6E">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基层应用不足，部分功能使用率低。 数据协同存在延迟。长期运维成本压力大，可持续性存忧。</w:t>
            </w:r>
          </w:p>
        </w:tc>
      </w:tr>
      <w:tr w14:paraId="617811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2" w:type="dxa"/>
          <w:trHeight w:val="502" w:hRule="atLeast"/>
        </w:trPr>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6B14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13469"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42666692">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提升基层智能用水平，开展定制化培训，简化 操作流程，降低使用门槛。构建 政数据中台，引入区块链技术，建立数据质量监测机制。建立 长效运维机制，保障该项目长期进行。</w:t>
            </w:r>
          </w:p>
        </w:tc>
      </w:tr>
      <w:tr w14:paraId="7D0EED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2" w:type="dxa"/>
          <w:trHeight w:val="328" w:hRule="atLeast"/>
        </w:trPr>
        <w:tc>
          <w:tcPr>
            <w:tcW w:w="81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BB234A8">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项目负责人：武强</w:t>
            </w:r>
          </w:p>
        </w:tc>
        <w:tc>
          <w:tcPr>
            <w:tcW w:w="628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268BC75">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财务负责人：王良洪</w:t>
            </w:r>
          </w:p>
        </w:tc>
      </w:tr>
    </w:tbl>
    <w:p w14:paraId="49D43767">
      <w:pPr>
        <w:pStyle w:val="5"/>
        <w:rPr>
          <w:rFonts w:hint="eastAsia" w:ascii="Times New Roman" w:hAnsi="Times New Roman" w:eastAsia="黑体" w:cs="黑体"/>
          <w:color w:val="auto"/>
          <w:kern w:val="0"/>
          <w:sz w:val="32"/>
          <w:szCs w:val="32"/>
          <w:highlight w:val="none"/>
          <w:shd w:val="clear" w:color="auto" w:fill="FFFFFF"/>
          <w:lang w:val="zh-CN"/>
        </w:rPr>
        <w:sectPr>
          <w:type w:val="continuous"/>
          <w:pgSz w:w="16838" w:h="11906" w:orient="landscape"/>
          <w:pgMar w:top="1800" w:right="1440" w:bottom="1800" w:left="1440" w:header="851" w:footer="992" w:gutter="0"/>
          <w:pgBorders>
            <w:top w:val="none" w:sz="0" w:space="0"/>
            <w:left w:val="none" w:sz="0" w:space="0"/>
            <w:bottom w:val="none" w:sz="0" w:space="0"/>
            <w:right w:val="none" w:sz="0" w:space="0"/>
          </w:pgBorders>
          <w:pgNumType w:fmt="numberInDash"/>
          <w:cols w:space="425" w:num="1"/>
          <w:titlePg/>
          <w:docGrid w:type="lines" w:linePitch="312" w:charSpace="0"/>
        </w:sectPr>
      </w:pPr>
    </w:p>
    <w:p w14:paraId="342C4967">
      <w:pPr>
        <w:pStyle w:val="5"/>
        <w:rPr>
          <w:rFonts w:hint="eastAsia" w:ascii="Times New Roman" w:hAnsi="Times New Roman" w:eastAsia="黑体" w:cs="黑体"/>
          <w:color w:val="auto"/>
          <w:sz w:val="32"/>
          <w:szCs w:val="32"/>
          <w:highlight w:val="none"/>
          <w:lang w:val="en-US" w:eastAsia="zh-CN"/>
        </w:rPr>
      </w:pPr>
      <w:r>
        <w:rPr>
          <w:rFonts w:hint="eastAsia" w:ascii="Times New Roman" w:hAnsi="Times New Roman" w:eastAsia="黑体" w:cs="黑体"/>
          <w:color w:val="auto"/>
          <w:kern w:val="0"/>
          <w:sz w:val="32"/>
          <w:szCs w:val="32"/>
          <w:highlight w:val="none"/>
          <w:shd w:val="clear" w:color="auto" w:fill="FFFFFF"/>
          <w:lang w:val="zh-CN"/>
        </w:rPr>
        <w:t>附件</w:t>
      </w:r>
      <w:r>
        <w:rPr>
          <w:rFonts w:hint="eastAsia" w:ascii="Times New Roman" w:hAnsi="Times New Roman" w:eastAsia="黑体" w:cs="黑体"/>
          <w:color w:val="auto"/>
          <w:kern w:val="0"/>
          <w:sz w:val="32"/>
          <w:szCs w:val="32"/>
          <w:highlight w:val="none"/>
          <w:shd w:val="clear" w:color="auto" w:fill="FFFFFF"/>
          <w:lang w:val="en-US" w:eastAsia="zh-CN"/>
        </w:rPr>
        <w:t>2</w:t>
      </w:r>
    </w:p>
    <w:p w14:paraId="52DB3D23">
      <w:pPr>
        <w:pStyle w:val="34"/>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eastAsia" w:ascii="Times New Roman" w:hAnsi="Times New Roman" w:eastAsia="方正小标宋简体" w:cs="方正小标宋简体"/>
          <w:color w:val="auto"/>
          <w:kern w:val="2"/>
          <w:sz w:val="44"/>
          <w:szCs w:val="44"/>
          <w:highlight w:val="none"/>
          <w:lang w:val="en-US" w:eastAsia="zh-CN"/>
        </w:rPr>
      </w:pPr>
    </w:p>
    <w:p w14:paraId="46DBB2AC">
      <w:pPr>
        <w:pStyle w:val="34"/>
        <w:spacing w:line="578" w:lineRule="exact"/>
        <w:jc w:val="center"/>
        <w:rPr>
          <w:rFonts w:ascii="Times New Roman" w:hAnsi="Times New Roman" w:eastAsia="方正小标宋简体"/>
          <w:color w:val="auto"/>
          <w:kern w:val="2"/>
          <w:sz w:val="44"/>
          <w:szCs w:val="44"/>
        </w:rPr>
      </w:pPr>
      <w:r>
        <w:rPr>
          <w:rFonts w:ascii="Times New Roman" w:hAnsi="Times New Roman" w:eastAsia="方正小标宋简体"/>
          <w:color w:val="auto"/>
          <w:kern w:val="2"/>
          <w:sz w:val="44"/>
          <w:szCs w:val="44"/>
        </w:rPr>
        <w:t>专项项目绩效评价报告</w:t>
      </w:r>
    </w:p>
    <w:p w14:paraId="7AF63D72">
      <w:pPr>
        <w:pStyle w:val="34"/>
        <w:spacing w:line="578" w:lineRule="exact"/>
        <w:jc w:val="center"/>
        <w:rPr>
          <w:rFonts w:hint="eastAsia" w:ascii="Times New Roman" w:hAnsi="Times New Roman" w:eastAsia="方正小标宋简体"/>
          <w:color w:val="auto"/>
          <w:kern w:val="2"/>
          <w:sz w:val="44"/>
          <w:szCs w:val="44"/>
        </w:rPr>
      </w:pPr>
      <w:r>
        <w:rPr>
          <w:rFonts w:hint="eastAsia" w:ascii="Times New Roman" w:hAnsi="Times New Roman" w:eastAsia="方正小标宋简体"/>
          <w:color w:val="auto"/>
          <w:kern w:val="2"/>
          <w:sz w:val="44"/>
          <w:szCs w:val="44"/>
        </w:rPr>
        <w:t>（驻村第一书记经费）</w:t>
      </w:r>
    </w:p>
    <w:p w14:paraId="2AAC7C3D">
      <w:pPr>
        <w:pStyle w:val="34"/>
        <w:spacing w:line="578" w:lineRule="exact"/>
        <w:ind w:firstLine="640"/>
        <w:jc w:val="center"/>
        <w:rPr>
          <w:rFonts w:ascii="Times New Roman" w:hAnsi="Times New Roman" w:eastAsia="Times New Roman"/>
          <w:color w:val="auto"/>
          <w:kern w:val="2"/>
          <w:sz w:val="32"/>
          <w:szCs w:val="32"/>
        </w:rPr>
      </w:pPr>
    </w:p>
    <w:p w14:paraId="37FC61EC">
      <w:pPr>
        <w:adjustRightInd w:val="0"/>
        <w:snapToGrid w:val="0"/>
        <w:spacing w:line="578" w:lineRule="exact"/>
        <w:ind w:firstLine="640" w:firstLineChars="200"/>
        <w:rPr>
          <w:rFonts w:ascii="Times New Roman" w:hAnsi="Times New Roman" w:eastAsia="黑体"/>
          <w:sz w:val="32"/>
          <w:szCs w:val="32"/>
          <w:lang w:val="zh-CN"/>
        </w:rPr>
      </w:pPr>
      <w:r>
        <w:rPr>
          <w:rFonts w:ascii="Times New Roman" w:hAnsi="Times New Roman" w:eastAsia="黑体"/>
          <w:sz w:val="32"/>
          <w:szCs w:val="32"/>
        </w:rPr>
        <w:t>一、</w:t>
      </w:r>
      <w:r>
        <w:rPr>
          <w:rFonts w:ascii="Times New Roman" w:hAnsi="Times New Roman" w:eastAsia="黑体"/>
          <w:sz w:val="32"/>
          <w:szCs w:val="32"/>
          <w:lang w:val="zh-CN"/>
        </w:rPr>
        <w:t>项目概况</w:t>
      </w:r>
    </w:p>
    <w:p w14:paraId="74410387">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ascii="Times New Roman" w:hAnsi="Times New Roman" w:eastAsia="楷体_GB2312"/>
          <w:b/>
          <w:sz w:val="32"/>
          <w:szCs w:val="32"/>
          <w:lang w:val="zh-CN"/>
        </w:rPr>
        <w:t>（一）设立背景及基本情况。</w:t>
      </w:r>
    </w:p>
    <w:p w14:paraId="07CE4C2F">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 xml:space="preserve">根据中共中央组织部、国务院扶贫办（现国家乡村振兴局）《关于做好选派机关优秀干部到村任第一书记工作的通知》（2015年）要求，各地需向脱贫村、党组织软弱涣散村等派驻第一书记，强化基层组织建设，推进乡村振兴。  </w:t>
      </w:r>
    </w:p>
    <w:p w14:paraId="6FB099BE">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 xml:space="preserve">四川省《驻村第一书记管理办法》明确要求各级财政保障第一书记工作经费，确保其履职需要。 驻村第一书记需开展党建指导、产业发展、民生服务等工作，但部分村庄基础设施薄弱、集体经济空白，需专项经费支持。  </w:t>
      </w:r>
    </w:p>
    <w:p w14:paraId="4D835A96">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 xml:space="preserve">泸州市部分偏远村存在“办事无资金、项目难落地”问题，经费项目可解决第一书记“巧妇难为无米之炊”困境。 </w:t>
      </w:r>
    </w:p>
    <w:p w14:paraId="23BEB485">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项目立项及资金申报依据：</w:t>
      </w:r>
    </w:p>
    <w:p w14:paraId="68D8E769">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 xml:space="preserve">1. 政策依据：《中央财政衔接推进乡村振兴补助资金管理办法》（财农〔2021〕19号）规定，资金可用于驻村帮扶工作。  </w:t>
      </w:r>
    </w:p>
    <w:p w14:paraId="11B49C8E">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 xml:space="preserve">四川省财政厅《关于做好驻村第一书记工作经费保障的通知》（川财农〔2022〕15号），明确按每村每年不低于2.5万元标准安排经费。  </w:t>
      </w:r>
    </w:p>
    <w:p w14:paraId="23CFB8A3">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项目主要内容：经费开支办公支出：差旅、交通、宣传资料印制等需专款专用，按照相关管理办法进行报销；驻村工作人员的工作内容：进行基层组织建设，对当地党员进行培训、党建活动阵地修缮等。协助当地产业发展，村集体项目前期调研、技术培训等。对法地困难群众慰问、基础设施小型维护等。</w:t>
      </w:r>
    </w:p>
    <w:p w14:paraId="695230BC">
      <w:pPr>
        <w:numPr>
          <w:ilvl w:val="0"/>
          <w:numId w:val="0"/>
        </w:numPr>
        <w:spacing w:line="600" w:lineRule="exact"/>
        <w:ind w:firstLine="640" w:firstLineChars="20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 xml:space="preserve">3.主管部门及职能： 泸州市委组织部牵头负责第一书记选派、考核及经费统筹管理。制定经费使用细则，联合财政、审计部门开展监督检查。泸州市财政局负责资金预算安排、拨付及绩效评价。对违规使用资金的行为追责问责。乡镇党委政府具体指导第一书记编制经费使用计划，定期公示支出明细。  </w:t>
      </w:r>
    </w:p>
    <w:p w14:paraId="04DC8C6C">
      <w:pPr>
        <w:numPr>
          <w:ilvl w:val="0"/>
          <w:numId w:val="0"/>
        </w:numPr>
        <w:spacing w:line="600" w:lineRule="exact"/>
        <w:ind w:firstLine="640" w:firstLineChars="200"/>
        <w:rPr>
          <w:rFonts w:hint="eastAsia" w:ascii="Times New Roman" w:hAnsi="Times New Roman" w:eastAsia="仿宋_GB2312" w:cs="仿宋_GB2312"/>
          <w:color w:val="auto"/>
          <w:kern w:val="2"/>
          <w:sz w:val="32"/>
          <w:szCs w:val="32"/>
          <w:highlight w:val="none"/>
          <w:lang w:val="zh-CN" w:eastAsia="zh-CN" w:bidi="ar-SA"/>
        </w:rPr>
      </w:pPr>
      <w:r>
        <w:rPr>
          <w:rFonts w:hint="eastAsia" w:ascii="Times New Roman" w:hAnsi="Times New Roman" w:eastAsia="仿宋_GB2312" w:cs="仿宋_GB2312"/>
          <w:color w:val="auto"/>
          <w:kern w:val="2"/>
          <w:sz w:val="32"/>
          <w:szCs w:val="32"/>
          <w:highlight w:val="none"/>
          <w:lang w:val="zh-CN" w:eastAsia="zh-CN" w:bidi="ar-SA"/>
        </w:rPr>
        <w:t>（</w:t>
      </w:r>
      <w:r>
        <w:rPr>
          <w:rFonts w:ascii="Times New Roman" w:hAnsi="Times New Roman" w:eastAsia="楷体_GB2312"/>
          <w:b/>
          <w:color w:val="000000"/>
          <w:sz w:val="32"/>
          <w:szCs w:val="32"/>
          <w:lang w:val="zh-CN"/>
        </w:rPr>
        <w:t>二）</w:t>
      </w:r>
      <w:r>
        <w:rPr>
          <w:rFonts w:ascii="Times New Roman" w:hAnsi="Times New Roman" w:eastAsia="楷体_GB2312"/>
          <w:b/>
          <w:color w:val="000000"/>
          <w:sz w:val="32"/>
          <w:szCs w:val="32"/>
        </w:rPr>
        <w:t>实施目的及支持方向。</w:t>
      </w:r>
    </w:p>
    <w:p w14:paraId="5107CFC0">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为了加强项目经费的规范化、科学化管理，保障项目顺利实施，提高资金使用效益，按照驻村工作项目资金使用相关文件规定，以报账方式，保障驻村工作人员的各项费用 。</w:t>
      </w:r>
    </w:p>
    <w:p w14:paraId="041B9BA1">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zh-CN" w:eastAsia="zh-CN" w:bidi="ar-SA"/>
        </w:rPr>
        <w:t>项目实施目的：</w:t>
      </w:r>
      <w:r>
        <w:rPr>
          <w:rFonts w:hint="eastAsia" w:ascii="Times New Roman" w:hAnsi="Times New Roman" w:eastAsia="仿宋_GB2312" w:cs="仿宋_GB2312"/>
          <w:color w:val="auto"/>
          <w:kern w:val="2"/>
          <w:sz w:val="32"/>
          <w:szCs w:val="32"/>
          <w:highlight w:val="none"/>
          <w:lang w:val="en-US" w:eastAsia="zh-CN" w:bidi="ar-SA"/>
        </w:rPr>
        <w:t>强化基层党组织建设，推动乡村振兴，基因脱贫成果，解决群众急难愁盼。</w:t>
      </w:r>
    </w:p>
    <w:p w14:paraId="32C06380">
      <w:pPr>
        <w:spacing w:line="600" w:lineRule="exact"/>
        <w:ind w:firstLine="640"/>
        <w:rPr>
          <w:rFonts w:hint="eastAsia" w:ascii="Times New Roman" w:hAnsi="Times New Roman" w:eastAsia="仿宋_GB2312"/>
          <w:kern w:val="0"/>
          <w:sz w:val="32"/>
          <w:szCs w:val="32"/>
          <w:shd w:val="clear" w:color="auto" w:fill="FFFFFF"/>
        </w:rPr>
      </w:pPr>
      <w:r>
        <w:rPr>
          <w:rFonts w:hint="eastAsia" w:ascii="Times New Roman" w:hAnsi="Times New Roman" w:eastAsia="仿宋_GB2312" w:cs="仿宋_GB2312"/>
          <w:color w:val="auto"/>
          <w:kern w:val="2"/>
          <w:sz w:val="32"/>
          <w:szCs w:val="32"/>
          <w:highlight w:val="none"/>
          <w:lang w:val="zh-CN" w:eastAsia="zh-CN" w:bidi="ar-SA"/>
        </w:rPr>
        <w:t>项目支持方向：</w:t>
      </w:r>
      <w:r>
        <w:rPr>
          <w:rFonts w:hint="eastAsia" w:ascii="Times New Roman" w:hAnsi="Times New Roman" w:eastAsia="仿宋_GB2312" w:cs="仿宋_GB2312"/>
          <w:color w:val="auto"/>
          <w:kern w:val="2"/>
          <w:sz w:val="32"/>
          <w:szCs w:val="32"/>
          <w:highlight w:val="none"/>
          <w:lang w:val="en-US" w:eastAsia="zh-CN" w:bidi="ar-SA"/>
        </w:rPr>
        <w:t>主要保障驻村工作队员的差旅费等费用。</w:t>
      </w:r>
    </w:p>
    <w:p w14:paraId="22E4EA0F">
      <w:pPr>
        <w:spacing w:line="600" w:lineRule="exact"/>
        <w:ind w:firstLine="640"/>
        <w:rPr>
          <w:rFonts w:hint="eastAsia" w:ascii="Times New Roman" w:hAnsi="Times New Roman" w:eastAsia="楷体_GB2312"/>
          <w:b/>
          <w:sz w:val="32"/>
          <w:szCs w:val="32"/>
          <w:lang w:eastAsia="zh-CN"/>
        </w:rPr>
      </w:pPr>
      <w:r>
        <w:rPr>
          <w:rFonts w:ascii="Times New Roman" w:hAnsi="Times New Roman" w:eastAsia="楷体_GB2312"/>
          <w:b/>
          <w:sz w:val="32"/>
          <w:szCs w:val="32"/>
          <w:lang w:val="zh-CN"/>
        </w:rPr>
        <w:t>（三）</w:t>
      </w:r>
      <w:r>
        <w:rPr>
          <w:rFonts w:ascii="Times New Roman" w:hAnsi="Times New Roman" w:eastAsia="楷体_GB2312"/>
          <w:b/>
          <w:sz w:val="32"/>
          <w:szCs w:val="32"/>
        </w:rPr>
        <w:t>预算安排及分配管理</w:t>
      </w:r>
      <w:r>
        <w:rPr>
          <w:rFonts w:hint="eastAsia" w:ascii="Times New Roman" w:hAnsi="Times New Roman" w:eastAsia="楷体_GB2312"/>
          <w:b/>
          <w:sz w:val="32"/>
          <w:szCs w:val="32"/>
          <w:lang w:eastAsia="zh-CN"/>
        </w:rPr>
        <w:t>。</w:t>
      </w:r>
    </w:p>
    <w:p w14:paraId="004883C8">
      <w:pPr>
        <w:numPr>
          <w:ilvl w:val="0"/>
          <w:numId w:val="0"/>
        </w:numPr>
        <w:spacing w:line="600" w:lineRule="exact"/>
        <w:ind w:firstLine="640" w:firstLineChars="20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2024年驻村工作人员经费为3.75万元，资金分配则是按照公平公正原则、需求导向原则、绩效与效率原则、专款专用原则、透明监督原则、可持续性原则。</w:t>
      </w:r>
    </w:p>
    <w:p w14:paraId="02360742">
      <w:pPr>
        <w:numPr>
          <w:ilvl w:val="0"/>
          <w:numId w:val="0"/>
        </w:numPr>
        <w:spacing w:line="600" w:lineRule="exact"/>
        <w:ind w:firstLine="640" w:firstLineChars="20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考虑因素有预算金额是否合理、是否推动乡村振兴等。</w:t>
      </w:r>
    </w:p>
    <w:p w14:paraId="244D5D8E">
      <w:pPr>
        <w:numPr>
          <w:ilvl w:val="0"/>
          <w:numId w:val="0"/>
        </w:numPr>
        <w:spacing w:line="600" w:lineRule="exact"/>
        <w:ind w:firstLine="640" w:firstLineChars="20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项目资金的分配情况：3.75万元均用于我委派驻将军湖村2名驻村队员差旅费等支出。</w:t>
      </w:r>
    </w:p>
    <w:p w14:paraId="3D64DCC1">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ascii="Times New Roman" w:hAnsi="Times New Roman" w:eastAsia="楷体_GB2312"/>
          <w:b/>
          <w:sz w:val="32"/>
          <w:szCs w:val="32"/>
          <w:lang w:val="zh-CN"/>
        </w:rPr>
        <w:t>（四）项目绩效目标设置。</w:t>
      </w:r>
      <w:r>
        <w:rPr>
          <w:rFonts w:hint="eastAsia" w:ascii="Times New Roman" w:hAnsi="Times New Roman" w:eastAsia="仿宋_GB2312" w:cs="仿宋_GB2312"/>
          <w:color w:val="auto"/>
          <w:kern w:val="2"/>
          <w:sz w:val="32"/>
          <w:szCs w:val="32"/>
          <w:highlight w:val="none"/>
          <w:lang w:val="en-US" w:eastAsia="zh-CN" w:bidi="ar-SA"/>
        </w:rPr>
        <w:t>该项目按照目标设置，完成了各项任务。巩固拓展脱贫攻坚成果，推动乡村振兴。项目自评包括资金使用合规性，该项目资金按相关规定要求执行，专款专用。</w:t>
      </w:r>
    </w:p>
    <w:p w14:paraId="7A56B20E">
      <w:pPr>
        <w:adjustRightInd w:val="0"/>
        <w:snapToGrid w:val="0"/>
        <w:spacing w:line="578" w:lineRule="exact"/>
        <w:ind w:firstLine="640" w:firstLineChars="200"/>
        <w:rPr>
          <w:rFonts w:ascii="Times New Roman" w:hAnsi="Times New Roman" w:eastAsia="黑体"/>
          <w:sz w:val="32"/>
          <w:szCs w:val="32"/>
        </w:rPr>
      </w:pPr>
      <w:r>
        <w:rPr>
          <w:rFonts w:ascii="Times New Roman" w:hAnsi="Times New Roman" w:eastAsia="黑体"/>
          <w:sz w:val="32"/>
          <w:szCs w:val="32"/>
        </w:rPr>
        <w:t>二、评价实施</w:t>
      </w:r>
    </w:p>
    <w:p w14:paraId="739F9F28">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ascii="Times New Roman" w:hAnsi="Times New Roman" w:eastAsia="楷体_GB2312"/>
          <w:b/>
          <w:sz w:val="32"/>
          <w:szCs w:val="32"/>
          <w:lang w:val="zh-CN"/>
        </w:rPr>
        <w:t>（一）评价目的。</w:t>
      </w:r>
      <w:r>
        <w:rPr>
          <w:rFonts w:hint="eastAsia" w:ascii="Times New Roman" w:hAnsi="Times New Roman" w:eastAsia="仿宋_GB2312" w:cs="仿宋_GB2312"/>
          <w:color w:val="auto"/>
          <w:kern w:val="2"/>
          <w:sz w:val="32"/>
          <w:szCs w:val="32"/>
          <w:highlight w:val="none"/>
          <w:lang w:val="en-US" w:eastAsia="zh-CN" w:bidi="ar-SA"/>
        </w:rPr>
        <w:t>通过科学、系统的评估机制，确保经费使用和项目实施达到预期目标，实现资源优化配置，并持续对乡村振兴带来新的工作方法和新面貌。</w:t>
      </w:r>
    </w:p>
    <w:p w14:paraId="04F556F3">
      <w:pPr>
        <w:numPr>
          <w:ilvl w:val="0"/>
          <w:numId w:val="0"/>
        </w:numPr>
        <w:spacing w:line="600" w:lineRule="exact"/>
        <w:ind w:firstLine="643" w:firstLineChars="200"/>
        <w:rPr>
          <w:rFonts w:hint="eastAsia" w:ascii="Times New Roman" w:hAnsi="Times New Roman" w:eastAsia="仿宋_GB2312" w:cs="仿宋_GB2312"/>
          <w:color w:val="auto"/>
          <w:kern w:val="2"/>
          <w:sz w:val="32"/>
          <w:szCs w:val="32"/>
          <w:highlight w:val="none"/>
          <w:lang w:val="en-US" w:eastAsia="zh-CN" w:bidi="ar-SA"/>
        </w:rPr>
      </w:pPr>
      <w:r>
        <w:rPr>
          <w:rFonts w:ascii="Times New Roman" w:hAnsi="Times New Roman" w:eastAsia="楷体_GB2312"/>
          <w:b/>
          <w:sz w:val="32"/>
          <w:szCs w:val="32"/>
          <w:lang w:val="zh-CN"/>
        </w:rPr>
        <w:t>（二）预设问题及评价重点。</w:t>
      </w:r>
      <w:r>
        <w:rPr>
          <w:rFonts w:hint="eastAsia" w:ascii="Times New Roman" w:hAnsi="Times New Roman" w:eastAsia="仿宋_GB2312" w:cs="仿宋_GB2312"/>
          <w:color w:val="auto"/>
          <w:kern w:val="2"/>
          <w:sz w:val="32"/>
          <w:szCs w:val="32"/>
          <w:highlight w:val="none"/>
          <w:lang w:val="en-US" w:eastAsia="zh-CN" w:bidi="ar-SA"/>
        </w:rPr>
        <w:t>绩效评价指标体系遵循科学性、系统性、可比性、可操作性、动态性原则。</w:t>
      </w:r>
    </w:p>
    <w:p w14:paraId="26C06650">
      <w:pPr>
        <w:numPr>
          <w:ilvl w:val="0"/>
          <w:numId w:val="0"/>
        </w:numPr>
        <w:spacing w:line="600" w:lineRule="exact"/>
        <w:ind w:firstLine="640" w:firstLineChars="20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2024年该项目资金到位率100%，资金优先支持两名驻村工作队员的工作保障。项目按照正常流程和进度开展，并与其它部门进行交流协作，共同完成。项目进行过程中有事前评估、事中监督、事后分析、总结。</w:t>
      </w:r>
    </w:p>
    <w:p w14:paraId="5CDA4F9A">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ascii="Times New Roman" w:hAnsi="Times New Roman" w:eastAsia="楷体_GB2312"/>
          <w:b/>
          <w:sz w:val="32"/>
          <w:szCs w:val="32"/>
          <w:lang w:val="zh-CN"/>
        </w:rPr>
        <w:t>（三）评价选点。</w:t>
      </w:r>
      <w:r>
        <w:rPr>
          <w:rFonts w:hint="eastAsia" w:ascii="Times New Roman" w:hAnsi="Times New Roman" w:eastAsia="仿宋_GB2312" w:cs="仿宋_GB2312"/>
          <w:color w:val="auto"/>
          <w:kern w:val="2"/>
          <w:sz w:val="32"/>
          <w:szCs w:val="32"/>
          <w:highlight w:val="none"/>
          <w:lang w:val="zh-CN" w:eastAsia="zh-CN" w:bidi="ar-SA"/>
        </w:rPr>
        <w:t>项目绩效自评所抽样点位情况。</w:t>
      </w:r>
      <w:r>
        <w:rPr>
          <w:rFonts w:hint="eastAsia" w:ascii="Times New Roman" w:hAnsi="Times New Roman" w:eastAsia="仿宋_GB2312" w:cs="仿宋_GB2312"/>
          <w:color w:val="auto"/>
          <w:kern w:val="2"/>
          <w:sz w:val="32"/>
          <w:szCs w:val="32"/>
          <w:highlight w:val="none"/>
          <w:lang w:val="en-US" w:eastAsia="zh-CN" w:bidi="ar-SA"/>
        </w:rPr>
        <w:t>该项目到所工作人员所驻村进行实地踏勘，且点位清单应作为自评附表。</w:t>
      </w:r>
    </w:p>
    <w:p w14:paraId="19159D31">
      <w:pPr>
        <w:numPr>
          <w:ilvl w:val="0"/>
          <w:numId w:val="0"/>
        </w:numPr>
        <w:spacing w:line="600" w:lineRule="exact"/>
        <w:ind w:firstLine="640" w:firstLineChars="20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抽样点位选取原则，涵盖政策支持的所有类型点位。抽样点位重点为资金使用的合规性、目标达成度、社会效益真实性等。</w:t>
      </w:r>
    </w:p>
    <w:p w14:paraId="1EF15FE4">
      <w:pPr>
        <w:numPr>
          <w:ilvl w:val="0"/>
          <w:numId w:val="0"/>
        </w:numPr>
        <w:spacing w:line="600" w:lineRule="exact"/>
        <w:ind w:firstLine="643" w:firstLineChars="200"/>
        <w:rPr>
          <w:rFonts w:hint="eastAsia" w:ascii="Times New Roman" w:hAnsi="Times New Roman" w:eastAsia="仿宋_GB2312" w:cs="仿宋_GB2312"/>
          <w:color w:val="auto"/>
          <w:kern w:val="2"/>
          <w:sz w:val="32"/>
          <w:szCs w:val="32"/>
          <w:highlight w:val="none"/>
          <w:lang w:val="en-US" w:eastAsia="zh-CN" w:bidi="ar-SA"/>
        </w:rPr>
      </w:pPr>
      <w:r>
        <w:rPr>
          <w:rFonts w:ascii="Times New Roman" w:hAnsi="Times New Roman" w:eastAsia="楷体_GB2312"/>
          <w:b/>
          <w:sz w:val="32"/>
          <w:szCs w:val="32"/>
          <w:lang w:val="zh-CN"/>
        </w:rPr>
        <w:t>（四）评价方法。</w:t>
      </w:r>
      <w:r>
        <w:rPr>
          <w:rFonts w:hint="eastAsia" w:ascii="Times New Roman" w:hAnsi="Times New Roman" w:eastAsia="仿宋_GB2312" w:cs="仿宋_GB2312"/>
          <w:color w:val="auto"/>
          <w:kern w:val="2"/>
          <w:sz w:val="32"/>
          <w:szCs w:val="32"/>
          <w:highlight w:val="none"/>
          <w:lang w:val="en-US" w:eastAsia="zh-CN" w:bidi="ar-SA"/>
        </w:rPr>
        <w:t>该项目主要采取的评价方法为：</w:t>
      </w:r>
    </w:p>
    <w:p w14:paraId="027795D3">
      <w:pPr>
        <w:numPr>
          <w:ilvl w:val="0"/>
          <w:numId w:val="0"/>
        </w:numPr>
        <w:spacing w:line="600" w:lineRule="exact"/>
        <w:ind w:firstLine="640" w:firstLineChars="20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一、成本效益分析法：通过一年的驻村工作，带动当地的产业发展、基础设施类建议等。</w:t>
      </w:r>
    </w:p>
    <w:p w14:paraId="7C029BDC">
      <w:pPr>
        <w:numPr>
          <w:ilvl w:val="0"/>
          <w:numId w:val="0"/>
        </w:numPr>
        <w:spacing w:line="600" w:lineRule="exact"/>
        <w:ind w:firstLine="640" w:firstLineChars="20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二、单位自评法：驻村第一书记和村两委开展自评总结 。项目完成度、资金支付合理合规。</w:t>
      </w:r>
    </w:p>
    <w:p w14:paraId="0093858C">
      <w:pPr>
        <w:numPr>
          <w:ilvl w:val="0"/>
          <w:numId w:val="0"/>
        </w:numPr>
        <w:spacing w:line="600" w:lineRule="exact"/>
        <w:ind w:firstLine="640" w:firstLineChars="200"/>
        <w:rPr>
          <w:rFonts w:hint="default"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三、实地勘察法：到驻村工作队所在的将军湖村进行实地验证。调查工作队员的工作情况、出勤率、当地村两委同志对两名工作队员的工作态度、工作能力及发挥的作用等进行评价。</w:t>
      </w:r>
    </w:p>
    <w:p w14:paraId="73252B3A">
      <w:pPr>
        <w:numPr>
          <w:ilvl w:val="0"/>
          <w:numId w:val="0"/>
        </w:numPr>
        <w:spacing w:line="600" w:lineRule="exact"/>
        <w:ind w:firstLine="640" w:firstLineChars="20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四、座谈调研法：听取村两委的意见，该项目是否解决了实际问题，带动产业发展等。组织讨论，交流意见、能深度挖掘研究课题中的复杂政策或争议问题。</w:t>
      </w:r>
    </w:p>
    <w:p w14:paraId="3A679812">
      <w:pPr>
        <w:numPr>
          <w:ilvl w:val="0"/>
          <w:numId w:val="0"/>
        </w:numPr>
        <w:spacing w:line="600" w:lineRule="exact"/>
        <w:ind w:firstLine="643" w:firstLineChars="200"/>
        <w:rPr>
          <w:rFonts w:hint="eastAsia" w:ascii="Times New Roman" w:hAnsi="Times New Roman" w:eastAsia="仿宋_GB2312" w:cs="仿宋_GB2312"/>
          <w:color w:val="auto"/>
          <w:kern w:val="2"/>
          <w:sz w:val="32"/>
          <w:szCs w:val="32"/>
          <w:highlight w:val="none"/>
          <w:lang w:val="en-US" w:eastAsia="zh-CN" w:bidi="ar-SA"/>
        </w:rPr>
      </w:pPr>
      <w:r>
        <w:rPr>
          <w:rFonts w:ascii="Times New Roman" w:hAnsi="Times New Roman" w:eastAsia="楷体_GB2312"/>
          <w:b/>
          <w:sz w:val="32"/>
          <w:szCs w:val="32"/>
          <w:lang w:val="zh-CN"/>
        </w:rPr>
        <w:t>（五）评价组织。</w:t>
      </w:r>
      <w:r>
        <w:rPr>
          <w:rFonts w:hint="eastAsia" w:ascii="Times New Roman" w:hAnsi="Times New Roman" w:eastAsia="仿宋_GB2312" w:cs="仿宋_GB2312"/>
          <w:color w:val="auto"/>
          <w:kern w:val="2"/>
          <w:sz w:val="32"/>
          <w:szCs w:val="32"/>
          <w:highlight w:val="none"/>
          <w:lang w:val="en-US" w:eastAsia="zh-CN" w:bidi="ar-SA"/>
        </w:rPr>
        <w:t>评价组人员构成和职责分工。</w:t>
      </w:r>
    </w:p>
    <w:p w14:paraId="13E5A3D2">
      <w:pPr>
        <w:numPr>
          <w:ilvl w:val="0"/>
          <w:numId w:val="0"/>
        </w:numPr>
        <w:spacing w:line="600" w:lineRule="exact"/>
        <w:ind w:firstLine="640" w:firstLineChars="20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评价组人构成：组长：管理驻村工作队的领导；财务审计人员；驻村第一书记代表。</w:t>
      </w:r>
    </w:p>
    <w:p w14:paraId="1BB63F4C">
      <w:pPr>
        <w:numPr>
          <w:ilvl w:val="0"/>
          <w:numId w:val="0"/>
        </w:numPr>
        <w:spacing w:line="600" w:lineRule="exact"/>
        <w:ind w:firstLine="640" w:firstLineChars="20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 xml:space="preserve"> 1. 组长，统筹全局：制定评价方案，分配任务，协调争议；质量控制：审核评价报告，确保结论客观公正。  </w:t>
      </w:r>
    </w:p>
    <w:p w14:paraId="6279E261">
      <w:pPr>
        <w:numPr>
          <w:ilvl w:val="0"/>
          <w:numId w:val="0"/>
        </w:numPr>
        <w:spacing w:line="600" w:lineRule="exact"/>
        <w:ind w:firstLine="640" w:firstLineChars="20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 xml:space="preserve">2. 财务审计人员。资金合规性审查：检查预算执行、报销凭证、结余资金处理；效益分析：计算成本效益比，识别资金浪费风险。  </w:t>
      </w:r>
    </w:p>
    <w:p w14:paraId="567638A7">
      <w:pPr>
        <w:numPr>
          <w:ilvl w:val="0"/>
          <w:numId w:val="0"/>
        </w:numPr>
        <w:spacing w:line="600" w:lineRule="exact"/>
        <w:ind w:firstLine="640" w:firstLineChars="20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 xml:space="preserve">4.驻村第一书记代表。对一年来驻村工作进行汇报和总结。 </w:t>
      </w:r>
    </w:p>
    <w:p w14:paraId="557367ED">
      <w:pPr>
        <w:adjustRightInd w:val="0"/>
        <w:snapToGrid w:val="0"/>
        <w:spacing w:line="578" w:lineRule="exact"/>
        <w:ind w:firstLine="640" w:firstLineChars="200"/>
        <w:rPr>
          <w:rFonts w:ascii="Times New Roman" w:hAnsi="Times New Roman" w:eastAsia="仿宋_GB2312"/>
          <w:sz w:val="32"/>
          <w:szCs w:val="32"/>
          <w:lang w:val="zh-CN"/>
        </w:rPr>
      </w:pPr>
      <w:r>
        <w:rPr>
          <w:rFonts w:ascii="Times New Roman" w:hAnsi="Times New Roman" w:eastAsia="黑体"/>
          <w:sz w:val="32"/>
          <w:szCs w:val="32"/>
        </w:rPr>
        <w:t>三、绩效分析</w:t>
      </w:r>
      <w:r>
        <w:rPr>
          <w:rFonts w:ascii="Times New Roman" w:hAnsi="Times New Roman" w:eastAsia="仿宋_GB2312"/>
          <w:sz w:val="32"/>
          <w:szCs w:val="32"/>
          <w:lang w:val="zh-CN"/>
        </w:rPr>
        <w:tab/>
      </w:r>
    </w:p>
    <w:p w14:paraId="31BCEF84">
      <w:pPr>
        <w:numPr>
          <w:ilvl w:val="0"/>
          <w:numId w:val="0"/>
        </w:numPr>
        <w:spacing w:line="600" w:lineRule="exact"/>
        <w:ind w:firstLine="640" w:firstLineChars="20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产出指标、数量指标：</w:t>
      </w:r>
    </w:p>
    <w:p w14:paraId="7C384D3B">
      <w:pPr>
        <w:numPr>
          <w:ilvl w:val="0"/>
          <w:numId w:val="0"/>
        </w:numPr>
        <w:spacing w:line="600" w:lineRule="exact"/>
        <w:ind w:firstLine="640" w:firstLineChars="20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1、驻村巩固脱贫工作时间为一年，评分满分。</w:t>
      </w:r>
    </w:p>
    <w:p w14:paraId="4A7CFAC4">
      <w:pPr>
        <w:numPr>
          <w:ilvl w:val="0"/>
          <w:numId w:val="0"/>
        </w:numPr>
        <w:spacing w:line="600" w:lineRule="exact"/>
        <w:ind w:firstLine="640" w:firstLineChars="20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2、选派第一书记、驻村工作队人数2人，评分满分。</w:t>
      </w:r>
    </w:p>
    <w:p w14:paraId="250A469C">
      <w:pPr>
        <w:numPr>
          <w:ilvl w:val="0"/>
          <w:numId w:val="0"/>
        </w:numPr>
        <w:spacing w:line="600" w:lineRule="exact"/>
        <w:ind w:firstLine="640" w:firstLineChars="20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3.第一书记驻村经费保障考勤率为100%，评分满分。</w:t>
      </w:r>
    </w:p>
    <w:p w14:paraId="58940C31">
      <w:pPr>
        <w:spacing w:line="578" w:lineRule="exact"/>
        <w:ind w:firstLine="640"/>
        <w:rPr>
          <w:rFonts w:ascii="Times New Roman" w:hAnsi="Times New Roman" w:eastAsia="楷体_GB2312"/>
          <w:b/>
          <w:sz w:val="32"/>
          <w:szCs w:val="32"/>
        </w:rPr>
      </w:pPr>
      <w:r>
        <w:rPr>
          <w:rFonts w:ascii="Times New Roman" w:hAnsi="Times New Roman" w:eastAsia="楷体_GB2312"/>
          <w:b/>
          <w:sz w:val="32"/>
          <w:szCs w:val="32"/>
          <w:lang w:val="zh-CN"/>
        </w:rPr>
        <w:t>（一）</w:t>
      </w:r>
      <w:r>
        <w:rPr>
          <w:rFonts w:ascii="Times New Roman" w:hAnsi="Times New Roman" w:eastAsia="楷体_GB2312"/>
          <w:b/>
          <w:sz w:val="32"/>
          <w:szCs w:val="32"/>
        </w:rPr>
        <w:t>通用指标</w:t>
      </w:r>
      <w:r>
        <w:rPr>
          <w:rFonts w:ascii="Times New Roman" w:hAnsi="Times New Roman" w:eastAsia="楷体_GB2312"/>
          <w:b/>
          <w:bCs/>
          <w:color w:val="000000"/>
          <w:kern w:val="0"/>
          <w:sz w:val="32"/>
          <w:szCs w:val="32"/>
          <w:shd w:val="clear" w:color="auto" w:fill="FFFFFF"/>
          <w:lang w:val="zh-CN"/>
        </w:rPr>
        <w:t>绩效分析。</w:t>
      </w:r>
    </w:p>
    <w:p w14:paraId="278986A2">
      <w:pPr>
        <w:numPr>
          <w:ilvl w:val="0"/>
          <w:numId w:val="0"/>
        </w:numPr>
        <w:spacing w:line="600" w:lineRule="exact"/>
        <w:ind w:firstLine="640" w:firstLineChars="200"/>
        <w:rPr>
          <w:rFonts w:hint="eastAsia" w:ascii="Times New Roman" w:hAnsi="Times New Roman" w:eastAsia="仿宋_GB2312" w:cs="仿宋_GB2312"/>
          <w:color w:val="auto"/>
          <w:kern w:val="2"/>
          <w:sz w:val="32"/>
          <w:szCs w:val="32"/>
          <w:highlight w:val="none"/>
          <w:lang w:val="en-US" w:eastAsia="zh-CN" w:bidi="ar-SA"/>
        </w:rPr>
      </w:pPr>
      <w:r>
        <w:rPr>
          <w:rFonts w:ascii="Times New Roman" w:hAnsi="Times New Roman" w:eastAsia="楷体_GB2312"/>
          <w:sz w:val="32"/>
          <w:szCs w:val="32"/>
        </w:rPr>
        <w:t>1.项目决策</w:t>
      </w:r>
      <w:r>
        <w:rPr>
          <w:rFonts w:hint="eastAsia" w:ascii="Times New Roman" w:hAnsi="Times New Roman" w:eastAsia="仿宋_GB2312" w:cs="仿宋_GB2312"/>
          <w:color w:val="auto"/>
          <w:kern w:val="2"/>
          <w:sz w:val="32"/>
          <w:szCs w:val="32"/>
          <w:highlight w:val="none"/>
          <w:lang w:val="en-US" w:eastAsia="zh-CN" w:bidi="ar-SA"/>
        </w:rPr>
        <w:t>。</w:t>
      </w:r>
    </w:p>
    <w:p w14:paraId="5A41096E">
      <w:pPr>
        <w:numPr>
          <w:ilvl w:val="0"/>
          <w:numId w:val="0"/>
        </w:numPr>
        <w:spacing w:line="600" w:lineRule="exact"/>
        <w:ind w:firstLine="640" w:firstLineChars="20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决策程序：由机关党委提出需求和立项申请。再进行风险评估后进行决策审批。最后立项文件归档，明确项目责任人，进行备案与监督。</w:t>
      </w:r>
    </w:p>
    <w:p w14:paraId="7DD1676A">
      <w:pPr>
        <w:numPr>
          <w:ilvl w:val="0"/>
          <w:numId w:val="0"/>
        </w:numPr>
        <w:spacing w:line="600" w:lineRule="exact"/>
        <w:ind w:firstLine="640" w:firstLineChars="20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规划论证：驻村第一书记对乡村振兴工作、加强基层党组织建议、巩固脱贫攻坚成果所做的工作。</w:t>
      </w:r>
    </w:p>
    <w:p w14:paraId="2E2126AE">
      <w:pPr>
        <w:numPr>
          <w:ilvl w:val="0"/>
          <w:numId w:val="0"/>
        </w:numPr>
        <w:spacing w:line="600" w:lineRule="exact"/>
        <w:ind w:firstLine="640" w:firstLineChars="20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资金投向：资金使用重视成本节约、预算执行率100%、项目按期完成、项目成效、社会影响力，可持续发展性等均为100%以上。资金投向的精准性、效益性和合规性也是项目资金管理的重要环节。该项目资金用途符合预算，专款专用。采购与支付流程符合财务相关规定。</w:t>
      </w:r>
    </w:p>
    <w:p w14:paraId="7EE4F8FF">
      <w:pPr>
        <w:numPr>
          <w:ilvl w:val="0"/>
          <w:numId w:val="0"/>
        </w:numPr>
        <w:spacing w:line="600" w:lineRule="exact"/>
        <w:ind w:firstLine="640" w:firstLineChars="200"/>
        <w:rPr>
          <w:rFonts w:hint="eastAsia" w:ascii="Times New Roman" w:hAnsi="Times New Roman" w:eastAsia="仿宋_GB2312" w:cs="仿宋_GB2312"/>
          <w:color w:val="auto"/>
          <w:kern w:val="2"/>
          <w:sz w:val="32"/>
          <w:szCs w:val="32"/>
          <w:highlight w:val="none"/>
          <w:lang w:val="en-US" w:eastAsia="zh-CN" w:bidi="ar-SA"/>
        </w:rPr>
      </w:pPr>
      <w:r>
        <w:rPr>
          <w:rFonts w:ascii="Times New Roman" w:hAnsi="Times New Roman" w:eastAsia="楷体_GB2312"/>
          <w:sz w:val="32"/>
          <w:szCs w:val="32"/>
        </w:rPr>
        <w:t>2.项目管理。</w:t>
      </w:r>
      <w:r>
        <w:rPr>
          <w:rFonts w:hint="eastAsia" w:ascii="Times New Roman" w:hAnsi="Times New Roman" w:eastAsia="仿宋_GB2312" w:cs="仿宋_GB2312"/>
          <w:color w:val="auto"/>
          <w:kern w:val="2"/>
          <w:sz w:val="32"/>
          <w:szCs w:val="32"/>
          <w:highlight w:val="none"/>
          <w:lang w:val="en-US" w:eastAsia="zh-CN" w:bidi="ar-SA"/>
        </w:rPr>
        <w:t>该项目的运行流程按照相关规定和内部制度进行，覆盖项目全流程（立项、实施、验收）和关键环节（财务支付、风险、质量），均无违规操作。</w:t>
      </w:r>
    </w:p>
    <w:p w14:paraId="08DB7E5A">
      <w:pPr>
        <w:numPr>
          <w:ilvl w:val="0"/>
          <w:numId w:val="0"/>
        </w:numPr>
        <w:spacing w:line="600" w:lineRule="exact"/>
        <w:ind w:firstLine="640" w:firstLineChars="20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分配管理：该项目资源分配公开透。</w:t>
      </w:r>
    </w:p>
    <w:p w14:paraId="2CE83F1C">
      <w:pPr>
        <w:numPr>
          <w:ilvl w:val="0"/>
          <w:numId w:val="0"/>
        </w:numPr>
        <w:spacing w:line="600" w:lineRule="exact"/>
        <w:ind w:firstLine="640" w:firstLineChars="20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绩效监管：该项目按照事前评估、事中监控、事后分析评价，进行动态跟踪，发现不规理立即进行项目调整。</w:t>
      </w:r>
    </w:p>
    <w:p w14:paraId="3CA3634E">
      <w:pPr>
        <w:numPr>
          <w:ilvl w:val="0"/>
          <w:numId w:val="0"/>
        </w:numPr>
        <w:spacing w:line="600" w:lineRule="exact"/>
        <w:ind w:firstLine="640" w:firstLineChars="20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3.项目实施。预算执行：该项目预算编制按照市委组织部要求2.5万元/人/年，预算编制合理、完整。</w:t>
      </w:r>
    </w:p>
    <w:p w14:paraId="495C64BD">
      <w:pPr>
        <w:numPr>
          <w:ilvl w:val="0"/>
          <w:numId w:val="0"/>
        </w:numPr>
        <w:spacing w:line="600" w:lineRule="exact"/>
        <w:ind w:firstLine="640" w:firstLineChars="20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资金使用：资金使用投向精准，支付规范，符合审计要求。</w:t>
      </w:r>
    </w:p>
    <w:p w14:paraId="7ACE4723">
      <w:pPr>
        <w:numPr>
          <w:ilvl w:val="0"/>
          <w:numId w:val="0"/>
        </w:numPr>
        <w:spacing w:line="600" w:lineRule="exact"/>
        <w:ind w:firstLine="640" w:firstLineChars="20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4.项目结果。目标完成：该项目目标完成率为100%，符合项目执行进度，完成质量达标。</w:t>
      </w:r>
    </w:p>
    <w:p w14:paraId="06D0556A">
      <w:pPr>
        <w:numPr>
          <w:ilvl w:val="0"/>
          <w:numId w:val="0"/>
        </w:numPr>
        <w:spacing w:line="600" w:lineRule="exact"/>
        <w:ind w:firstLine="640" w:firstLineChars="20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完成时效：该项目在规定时间内完成。</w:t>
      </w:r>
    </w:p>
    <w:p w14:paraId="5B0F63EA">
      <w:pPr>
        <w:spacing w:line="578" w:lineRule="exact"/>
        <w:ind w:firstLine="643" w:firstLineChars="200"/>
        <w:rPr>
          <w:rFonts w:ascii="Times New Roman" w:hAnsi="Times New Roman" w:eastAsia="楷体_GB2312"/>
          <w:sz w:val="32"/>
          <w:szCs w:val="32"/>
          <w:lang w:val="zh-CN"/>
        </w:rPr>
      </w:pPr>
      <w:r>
        <w:rPr>
          <w:rFonts w:ascii="Times New Roman" w:hAnsi="Times New Roman" w:eastAsia="楷体_GB2312"/>
          <w:b/>
          <w:sz w:val="32"/>
          <w:szCs w:val="32"/>
          <w:lang w:val="zh-CN"/>
        </w:rPr>
        <w:t>（二）</w:t>
      </w:r>
      <w:r>
        <w:rPr>
          <w:rFonts w:ascii="Times New Roman" w:hAnsi="Times New Roman" w:eastAsia="楷体_GB2312"/>
          <w:b/>
          <w:sz w:val="32"/>
          <w:szCs w:val="32"/>
        </w:rPr>
        <w:t>专用指标</w:t>
      </w:r>
      <w:r>
        <w:rPr>
          <w:rFonts w:ascii="Times New Roman" w:hAnsi="Times New Roman" w:eastAsia="楷体_GB2312"/>
          <w:b/>
          <w:bCs/>
          <w:color w:val="000000"/>
          <w:kern w:val="0"/>
          <w:sz w:val="32"/>
          <w:szCs w:val="32"/>
          <w:shd w:val="clear" w:color="auto" w:fill="FFFFFF"/>
          <w:lang w:val="zh-CN"/>
        </w:rPr>
        <w:t>绩效分析。</w:t>
      </w:r>
    </w:p>
    <w:p w14:paraId="72AE6A1F">
      <w:pPr>
        <w:numPr>
          <w:ilvl w:val="0"/>
          <w:numId w:val="0"/>
        </w:numPr>
        <w:spacing w:line="600" w:lineRule="exact"/>
        <w:ind w:firstLine="640" w:firstLineChars="200"/>
        <w:rPr>
          <w:rFonts w:hint="eastAsia" w:ascii="Times New Roman" w:hAnsi="Times New Roman" w:eastAsia="仿宋_GB2312" w:cs="仿宋_GB2312"/>
          <w:color w:val="auto"/>
          <w:kern w:val="2"/>
          <w:sz w:val="32"/>
          <w:szCs w:val="32"/>
          <w:highlight w:val="none"/>
          <w:lang w:val="en-US" w:eastAsia="zh-CN" w:bidi="ar-SA"/>
        </w:rPr>
      </w:pPr>
      <w:r>
        <w:rPr>
          <w:rFonts w:ascii="Times New Roman" w:hAnsi="Times New Roman" w:eastAsia="楷体_GB2312"/>
          <w:sz w:val="32"/>
          <w:szCs w:val="32"/>
        </w:rPr>
        <w:t>1.产业发展类。</w:t>
      </w:r>
      <w:r>
        <w:rPr>
          <w:rFonts w:hint="eastAsia" w:ascii="Times New Roman" w:hAnsi="Times New Roman" w:eastAsia="仿宋_GB2312" w:cs="仿宋_GB2312"/>
          <w:color w:val="auto"/>
          <w:kern w:val="2"/>
          <w:sz w:val="32"/>
          <w:szCs w:val="32"/>
          <w:highlight w:val="none"/>
          <w:lang w:val="en-US" w:eastAsia="zh-CN" w:bidi="ar-SA"/>
        </w:rPr>
        <w:t>助力产业发展是驻村第一书记工作经费的重点，工作人员将从当地实际情况出发，帮助村民发展适合当地经济发展的产业。根据国家政策，为村民建立可持续发展的经济链条。</w:t>
      </w:r>
    </w:p>
    <w:p w14:paraId="3F479E87">
      <w:pPr>
        <w:numPr>
          <w:ilvl w:val="0"/>
          <w:numId w:val="0"/>
        </w:numPr>
        <w:spacing w:line="600" w:lineRule="exact"/>
        <w:ind w:firstLine="640" w:firstLineChars="20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楷体_GB2312" w:cs="Times New Roman"/>
          <w:sz w:val="32"/>
          <w:szCs w:val="32"/>
          <w:lang w:val="en-US" w:eastAsia="zh-CN"/>
        </w:rPr>
        <w:t>2.</w:t>
      </w:r>
      <w:r>
        <w:rPr>
          <w:rFonts w:hint="eastAsia" w:ascii="Times New Roman" w:hAnsi="Times New Roman" w:eastAsia="楷体_GB2312" w:cs="Times New Roman"/>
          <w:sz w:val="32"/>
          <w:szCs w:val="32"/>
          <w:lang w:val="zh-CN" w:eastAsia="zh-CN"/>
        </w:rPr>
        <w:t>民生保障</w:t>
      </w:r>
      <w:r>
        <w:rPr>
          <w:rFonts w:hint="eastAsia" w:ascii="Times New Roman" w:hAnsi="Times New Roman" w:eastAsia="楷体_GB2312" w:cs="Times New Roman"/>
          <w:sz w:val="32"/>
          <w:szCs w:val="32"/>
          <w:lang w:val="en-US" w:eastAsia="zh-CN"/>
        </w:rPr>
        <w:t>类</w:t>
      </w:r>
      <w:r>
        <w:rPr>
          <w:rFonts w:hint="eastAsia" w:ascii="Times New Roman" w:hAnsi="Times New Roman" w:eastAsia="楷体_GB2312" w:cs="Times New Roman"/>
          <w:sz w:val="32"/>
          <w:szCs w:val="32"/>
          <w:lang w:val="zh-CN" w:eastAsia="zh-CN"/>
        </w:rPr>
        <w:t>。</w:t>
      </w:r>
      <w:r>
        <w:rPr>
          <w:rFonts w:hint="eastAsia" w:ascii="Times New Roman" w:hAnsi="Times New Roman" w:eastAsia="仿宋_GB2312" w:cs="仿宋_GB2312"/>
          <w:color w:val="auto"/>
          <w:kern w:val="2"/>
          <w:sz w:val="32"/>
          <w:szCs w:val="32"/>
          <w:highlight w:val="none"/>
          <w:lang w:val="en-US" w:eastAsia="zh-CN" w:bidi="ar-SA"/>
        </w:rPr>
        <w:t>驻村工作人员协助当地村委解决村民的实际困难，切实关注脱贫户、残疾人、留守老人儿童等。对困难户进行了走访和慰问，帮助解决村民的困难。</w:t>
      </w:r>
    </w:p>
    <w:p w14:paraId="6F7C7896">
      <w:pPr>
        <w:spacing w:line="578"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ascii="Times New Roman" w:hAnsi="Times New Roman" w:eastAsia="楷体_GB2312"/>
          <w:b/>
          <w:sz w:val="32"/>
          <w:szCs w:val="32"/>
          <w:lang w:val="zh-CN"/>
        </w:rPr>
        <w:t>（三）</w:t>
      </w:r>
      <w:r>
        <w:rPr>
          <w:rFonts w:ascii="Times New Roman" w:hAnsi="Times New Roman" w:eastAsia="楷体_GB2312"/>
          <w:b/>
          <w:sz w:val="32"/>
          <w:szCs w:val="32"/>
        </w:rPr>
        <w:t>个性指标</w:t>
      </w:r>
      <w:r>
        <w:rPr>
          <w:rFonts w:ascii="Times New Roman" w:hAnsi="Times New Roman" w:eastAsia="楷体_GB2312"/>
          <w:b/>
          <w:bCs/>
          <w:color w:val="000000"/>
          <w:kern w:val="0"/>
          <w:sz w:val="32"/>
          <w:szCs w:val="32"/>
          <w:shd w:val="clear" w:color="auto" w:fill="FFFFFF"/>
          <w:lang w:val="zh-CN"/>
        </w:rPr>
        <w:t>绩效分析。</w:t>
      </w:r>
      <w:r>
        <w:rPr>
          <w:rFonts w:hint="eastAsia" w:ascii="Times New Roman" w:hAnsi="Times New Roman" w:eastAsia="仿宋_GB2312" w:cs="仿宋_GB2312"/>
          <w:color w:val="auto"/>
          <w:kern w:val="2"/>
          <w:sz w:val="32"/>
          <w:szCs w:val="32"/>
          <w:highlight w:val="none"/>
          <w:lang w:val="en-US" w:eastAsia="zh-CN" w:bidi="ar-SA"/>
        </w:rPr>
        <w:t>该项目围绕驻村工作队的主要任务，对照绩效目标完成了相关的任务，和村干部一起带领将军湖村村民创业增收。强化基层党组织建设。2024年2名工作队员的考勤均为100%，</w:t>
      </w:r>
    </w:p>
    <w:p w14:paraId="4CD7CD1F">
      <w:pPr>
        <w:widowControl/>
        <w:spacing w:line="600" w:lineRule="exact"/>
        <w:ind w:firstLine="640" w:firstLineChars="200"/>
        <w:jc w:val="left"/>
        <w:rPr>
          <w:rFonts w:ascii="Times New Roman" w:hAnsi="Times New Roman" w:eastAsia="黑体"/>
          <w:kern w:val="0"/>
          <w:position w:val="3"/>
          <w:sz w:val="32"/>
          <w:szCs w:val="32"/>
        </w:rPr>
      </w:pPr>
      <w:r>
        <w:rPr>
          <w:rFonts w:ascii="Times New Roman" w:hAnsi="Times New Roman" w:eastAsia="黑体"/>
          <w:kern w:val="0"/>
          <w:position w:val="3"/>
          <w:sz w:val="32"/>
          <w:szCs w:val="32"/>
        </w:rPr>
        <w:t>四、评价结论</w:t>
      </w:r>
    </w:p>
    <w:p w14:paraId="689B57BC">
      <w:pPr>
        <w:numPr>
          <w:ilvl w:val="0"/>
          <w:numId w:val="0"/>
        </w:numPr>
        <w:spacing w:line="600" w:lineRule="exact"/>
        <w:ind w:firstLine="640" w:firstLineChars="20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该项目100%完成目标任务，预算执行率为100%。项目实施效果为优，为将军湖的村民带来了经济的增加和生活幸福。</w:t>
      </w:r>
    </w:p>
    <w:p w14:paraId="39A6B422">
      <w:pPr>
        <w:widowControl/>
        <w:spacing w:line="600" w:lineRule="exact"/>
        <w:ind w:firstLine="640" w:firstLineChars="200"/>
        <w:jc w:val="left"/>
        <w:rPr>
          <w:rFonts w:ascii="Times New Roman" w:hAnsi="Times New Roman" w:eastAsia="黑体"/>
          <w:kern w:val="0"/>
          <w:position w:val="3"/>
          <w:sz w:val="32"/>
          <w:szCs w:val="32"/>
        </w:rPr>
      </w:pPr>
      <w:r>
        <w:rPr>
          <w:rFonts w:ascii="Times New Roman" w:hAnsi="Times New Roman" w:eastAsia="黑体"/>
          <w:kern w:val="0"/>
          <w:position w:val="3"/>
          <w:sz w:val="32"/>
          <w:szCs w:val="32"/>
        </w:rPr>
        <w:t>五、存在主要问题</w:t>
      </w:r>
    </w:p>
    <w:p w14:paraId="1E88D760">
      <w:pPr>
        <w:widowControl/>
        <w:spacing w:line="600" w:lineRule="exact"/>
        <w:ind w:firstLine="640" w:firstLineChars="200"/>
        <w:jc w:val="left"/>
        <w:rPr>
          <w:rFonts w:eastAsia="仿宋_GB2312"/>
        </w:rPr>
      </w:pPr>
      <w:r>
        <w:rPr>
          <w:rFonts w:hint="eastAsia" w:ascii="Times New Roman" w:hAnsi="Times New Roman" w:eastAsia="仿宋_GB2312"/>
          <w:kern w:val="0"/>
          <w:sz w:val="32"/>
          <w:szCs w:val="32"/>
        </w:rPr>
        <w:t>无问题</w:t>
      </w:r>
    </w:p>
    <w:p w14:paraId="7A002398">
      <w:pPr>
        <w:widowControl/>
        <w:spacing w:line="600" w:lineRule="exact"/>
        <w:ind w:firstLine="640" w:firstLineChars="200"/>
        <w:jc w:val="left"/>
        <w:rPr>
          <w:rFonts w:ascii="Times New Roman" w:hAnsi="Times New Roman" w:eastAsia="黑体"/>
          <w:kern w:val="0"/>
          <w:position w:val="3"/>
          <w:sz w:val="32"/>
          <w:szCs w:val="32"/>
          <w:lang w:val="zh-CN"/>
        </w:rPr>
      </w:pPr>
      <w:r>
        <w:rPr>
          <w:rFonts w:ascii="Times New Roman" w:hAnsi="Times New Roman" w:eastAsia="黑体"/>
          <w:kern w:val="0"/>
          <w:position w:val="3"/>
          <w:sz w:val="32"/>
          <w:szCs w:val="32"/>
          <w:lang w:val="zh-CN"/>
        </w:rPr>
        <w:t>六、改进建议</w:t>
      </w:r>
    </w:p>
    <w:p w14:paraId="4338CD90">
      <w:pPr>
        <w:numPr>
          <w:ilvl w:val="0"/>
          <w:numId w:val="0"/>
        </w:numPr>
        <w:spacing w:line="600" w:lineRule="exact"/>
        <w:ind w:firstLine="640" w:firstLineChars="20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 xml:space="preserve">1.强化动态调整机制。对项目预算进行动态监控，及时对项目的资金支付情况，项目实施进度和过程进行结果分析，动态调整项目资金和项目进度，避免突击花钱。  </w:t>
      </w:r>
    </w:p>
    <w:p w14:paraId="68A56B0B">
      <w:pPr>
        <w:numPr>
          <w:ilvl w:val="0"/>
          <w:numId w:val="0"/>
        </w:numPr>
        <w:spacing w:line="600" w:lineRule="exact"/>
        <w:ind w:firstLine="640" w:firstLineChars="20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2.对目标设置进行量化，避免量化模糊表述。</w:t>
      </w:r>
    </w:p>
    <w:p w14:paraId="422EAC18">
      <w:pPr>
        <w:numPr>
          <w:ilvl w:val="0"/>
          <w:numId w:val="0"/>
        </w:numPr>
        <w:spacing w:line="600" w:lineRule="exact"/>
        <w:ind w:firstLine="640" w:firstLineChars="20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3.强化成果的转化工作。</w:t>
      </w:r>
    </w:p>
    <w:p w14:paraId="4414BF31">
      <w:pPr>
        <w:numPr>
          <w:ilvl w:val="0"/>
          <w:numId w:val="0"/>
        </w:numPr>
        <w:spacing w:line="600" w:lineRule="exact"/>
        <w:ind w:firstLine="640" w:firstLineChars="200"/>
        <w:rPr>
          <w:rFonts w:hint="eastAsia" w:ascii="Times New Roman" w:hAnsi="Times New Roman" w:eastAsia="仿宋_GB2312" w:cs="仿宋_GB2312"/>
          <w:color w:val="auto"/>
          <w:kern w:val="2"/>
          <w:sz w:val="32"/>
          <w:szCs w:val="32"/>
          <w:highlight w:val="none"/>
          <w:lang w:val="zh-CN" w:eastAsia="zh-CN" w:bidi="ar-SA"/>
        </w:rPr>
      </w:pPr>
      <w:r>
        <w:rPr>
          <w:rFonts w:hint="eastAsia" w:ascii="Times New Roman" w:hAnsi="Times New Roman" w:eastAsia="仿宋_GB2312" w:cs="仿宋_GB2312"/>
          <w:color w:val="auto"/>
          <w:kern w:val="2"/>
          <w:sz w:val="32"/>
          <w:szCs w:val="32"/>
          <w:highlight w:val="none"/>
          <w:lang w:val="en-US" w:eastAsia="zh-CN" w:bidi="ar-SA"/>
        </w:rPr>
        <w:t>4.加强对项目的监督与问责。</w:t>
      </w:r>
    </w:p>
    <w:p w14:paraId="483A9B1C">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eastAsia" w:ascii="Times New Roman" w:hAnsi="Times New Roman" w:eastAsia="仿宋_GB2312" w:cs="仿宋_GB2312"/>
          <w:b w:val="0"/>
          <w:bCs w:val="0"/>
          <w:kern w:val="0"/>
          <w:position w:val="0"/>
          <w:sz w:val="32"/>
          <w:szCs w:val="32"/>
          <w:highlight w:val="none"/>
          <w:lang w:val="en-US" w:eastAsia="zh-CN" w:bidi="ar-SA"/>
        </w:rPr>
      </w:pPr>
    </w:p>
    <w:p w14:paraId="6AFC3C15">
      <w:pPr>
        <w:pStyle w:val="19"/>
        <w:rPr>
          <w:rFonts w:hint="eastAsia" w:ascii="Times New Roman" w:hAnsi="Times New Roman" w:eastAsia="仿宋_GB2312" w:cs="仿宋_GB2312"/>
          <w:b w:val="0"/>
          <w:bCs w:val="0"/>
          <w:kern w:val="0"/>
          <w:position w:val="0"/>
          <w:sz w:val="32"/>
          <w:szCs w:val="32"/>
          <w:highlight w:val="none"/>
          <w:lang w:val="en-US" w:eastAsia="zh-CN" w:bidi="ar-SA"/>
        </w:rPr>
      </w:pPr>
    </w:p>
    <w:p w14:paraId="40678D37">
      <w:pPr>
        <w:rPr>
          <w:rFonts w:hint="eastAsia" w:ascii="Times New Roman" w:hAnsi="Times New Roman" w:eastAsia="仿宋_GB2312" w:cs="仿宋_GB2312"/>
          <w:b w:val="0"/>
          <w:bCs w:val="0"/>
          <w:kern w:val="0"/>
          <w:position w:val="0"/>
          <w:sz w:val="32"/>
          <w:szCs w:val="32"/>
          <w:highlight w:val="none"/>
          <w:lang w:val="en-US" w:eastAsia="zh-CN" w:bidi="ar-SA"/>
        </w:rPr>
      </w:pPr>
    </w:p>
    <w:p w14:paraId="3561D237">
      <w:pPr>
        <w:numPr>
          <w:ilvl w:val="0"/>
          <w:numId w:val="0"/>
        </w:numPr>
        <w:spacing w:line="600" w:lineRule="exact"/>
        <w:ind w:firstLine="640" w:firstLineChars="200"/>
        <w:rPr>
          <w:rFonts w:hint="eastAsia" w:ascii="Times New Roman" w:hAnsi="Times New Roman" w:eastAsia="仿宋_GB2312" w:cs="仿宋_GB2312"/>
          <w:b w:val="0"/>
          <w:bCs w:val="0"/>
          <w:kern w:val="0"/>
          <w:position w:val="0"/>
          <w:sz w:val="32"/>
          <w:szCs w:val="32"/>
          <w:highlight w:val="none"/>
          <w:lang w:val="en-US" w:eastAsia="zh-CN" w:bidi="ar-SA"/>
        </w:rPr>
      </w:pPr>
    </w:p>
    <w:p w14:paraId="34C5A497">
      <w:pPr>
        <w:pStyle w:val="13"/>
        <w:rPr>
          <w:rFonts w:hint="eastAsia" w:ascii="Times New Roman" w:hAnsi="Times New Roman" w:eastAsia="仿宋_GB2312" w:cs="仿宋_GB2312"/>
          <w:b w:val="0"/>
          <w:bCs w:val="0"/>
          <w:kern w:val="0"/>
          <w:position w:val="0"/>
          <w:sz w:val="32"/>
          <w:szCs w:val="32"/>
          <w:highlight w:val="none"/>
          <w:lang w:val="en-US" w:eastAsia="zh-CN" w:bidi="ar-SA"/>
        </w:rPr>
      </w:pPr>
    </w:p>
    <w:p w14:paraId="60A9F68B">
      <w:pPr>
        <w:pStyle w:val="7"/>
        <w:rPr>
          <w:rFonts w:hint="eastAsia" w:ascii="Times New Roman" w:hAnsi="Times New Roman" w:eastAsia="仿宋_GB2312" w:cs="仿宋_GB2312"/>
          <w:b w:val="0"/>
          <w:bCs w:val="0"/>
          <w:kern w:val="0"/>
          <w:position w:val="0"/>
          <w:sz w:val="32"/>
          <w:szCs w:val="32"/>
          <w:highlight w:val="none"/>
          <w:lang w:val="en-US" w:eastAsia="zh-CN" w:bidi="ar-SA"/>
        </w:rPr>
      </w:pPr>
    </w:p>
    <w:p w14:paraId="3051ED7E">
      <w:pPr>
        <w:pStyle w:val="7"/>
        <w:rPr>
          <w:rFonts w:hint="eastAsia" w:ascii="Times New Roman" w:hAnsi="Times New Roman" w:eastAsia="仿宋_GB2312" w:cs="仿宋_GB2312"/>
          <w:b w:val="0"/>
          <w:bCs w:val="0"/>
          <w:kern w:val="0"/>
          <w:position w:val="0"/>
          <w:sz w:val="32"/>
          <w:szCs w:val="32"/>
          <w:highlight w:val="none"/>
          <w:lang w:val="en-US" w:eastAsia="zh-CN" w:bidi="ar-SA"/>
        </w:rPr>
      </w:pPr>
    </w:p>
    <w:p w14:paraId="0E7EFBBC">
      <w:pPr>
        <w:pStyle w:val="7"/>
        <w:rPr>
          <w:rFonts w:hint="eastAsia" w:ascii="Times New Roman" w:hAnsi="Times New Roman" w:eastAsia="仿宋_GB2312" w:cs="仿宋_GB2312"/>
          <w:b w:val="0"/>
          <w:bCs w:val="0"/>
          <w:kern w:val="0"/>
          <w:position w:val="0"/>
          <w:sz w:val="32"/>
          <w:szCs w:val="32"/>
          <w:highlight w:val="none"/>
          <w:lang w:val="en-US" w:eastAsia="zh-CN" w:bidi="ar-SA"/>
        </w:rPr>
      </w:pPr>
    </w:p>
    <w:p w14:paraId="09C83571">
      <w:pPr>
        <w:pStyle w:val="7"/>
        <w:rPr>
          <w:rFonts w:hint="eastAsia" w:ascii="Times New Roman" w:hAnsi="Times New Roman" w:eastAsia="仿宋_GB2312" w:cs="仿宋_GB2312"/>
          <w:b w:val="0"/>
          <w:bCs w:val="0"/>
          <w:kern w:val="0"/>
          <w:position w:val="0"/>
          <w:sz w:val="32"/>
          <w:szCs w:val="32"/>
          <w:highlight w:val="none"/>
          <w:lang w:val="en-US" w:eastAsia="zh-CN" w:bidi="ar-SA"/>
        </w:rPr>
      </w:pPr>
    </w:p>
    <w:p w14:paraId="6B091636">
      <w:pPr>
        <w:pStyle w:val="7"/>
        <w:rPr>
          <w:rFonts w:hint="eastAsia" w:ascii="Times New Roman" w:hAnsi="Times New Roman" w:eastAsia="仿宋_GB2312" w:cs="仿宋_GB2312"/>
          <w:b w:val="0"/>
          <w:bCs w:val="0"/>
          <w:kern w:val="0"/>
          <w:position w:val="0"/>
          <w:sz w:val="32"/>
          <w:szCs w:val="32"/>
          <w:highlight w:val="none"/>
          <w:lang w:val="en-US" w:eastAsia="zh-CN" w:bidi="ar-SA"/>
        </w:rPr>
      </w:pPr>
    </w:p>
    <w:p w14:paraId="1A93C426">
      <w:pPr>
        <w:pStyle w:val="7"/>
        <w:rPr>
          <w:rFonts w:hint="eastAsia" w:ascii="Times New Roman" w:hAnsi="Times New Roman" w:eastAsia="仿宋_GB2312" w:cs="仿宋_GB2312"/>
          <w:b w:val="0"/>
          <w:bCs w:val="0"/>
          <w:kern w:val="0"/>
          <w:position w:val="0"/>
          <w:sz w:val="32"/>
          <w:szCs w:val="32"/>
          <w:highlight w:val="none"/>
          <w:lang w:val="en-US" w:eastAsia="zh-CN" w:bidi="ar-SA"/>
        </w:rPr>
      </w:pPr>
    </w:p>
    <w:p w14:paraId="5DE44F59">
      <w:pPr>
        <w:rPr>
          <w:rFonts w:hint="eastAsia" w:ascii="Times New Roman" w:hAnsi="Times New Roman" w:eastAsia="仿宋_GB2312" w:cs="仿宋_GB2312"/>
          <w:b w:val="0"/>
          <w:bCs w:val="0"/>
          <w:kern w:val="0"/>
          <w:position w:val="0"/>
          <w:sz w:val="32"/>
          <w:szCs w:val="32"/>
          <w:highlight w:val="none"/>
          <w:lang w:val="en-US" w:eastAsia="zh-CN" w:bidi="ar-SA"/>
        </w:rPr>
      </w:pPr>
    </w:p>
    <w:p w14:paraId="3D608C5B">
      <w:pPr>
        <w:pStyle w:val="34"/>
        <w:spacing w:line="578" w:lineRule="exact"/>
        <w:jc w:val="center"/>
        <w:rPr>
          <w:rFonts w:ascii="Times New Roman" w:hAnsi="Times New Roman" w:eastAsia="方正小标宋简体"/>
          <w:color w:val="auto"/>
          <w:kern w:val="2"/>
          <w:sz w:val="44"/>
          <w:szCs w:val="44"/>
        </w:rPr>
      </w:pPr>
      <w:r>
        <w:rPr>
          <w:rFonts w:ascii="Times New Roman" w:hAnsi="Times New Roman" w:eastAsia="方正小标宋简体"/>
          <w:color w:val="auto"/>
          <w:kern w:val="2"/>
          <w:sz w:val="44"/>
          <w:szCs w:val="44"/>
        </w:rPr>
        <w:t>专项项目绩效评价报告</w:t>
      </w:r>
    </w:p>
    <w:p w14:paraId="57501BEA">
      <w:pPr>
        <w:pStyle w:val="34"/>
        <w:spacing w:line="578" w:lineRule="exact"/>
        <w:jc w:val="center"/>
        <w:rPr>
          <w:rFonts w:hint="eastAsia" w:ascii="Times New Roman" w:hAnsi="Times New Roman" w:eastAsia="方正小标宋简体"/>
          <w:color w:val="auto"/>
          <w:kern w:val="2"/>
          <w:sz w:val="44"/>
          <w:szCs w:val="44"/>
        </w:rPr>
      </w:pPr>
      <w:r>
        <w:rPr>
          <w:rFonts w:hint="eastAsia" w:ascii="Times New Roman" w:hAnsi="Times New Roman" w:eastAsia="方正小标宋简体"/>
          <w:color w:val="auto"/>
          <w:kern w:val="2"/>
          <w:sz w:val="44"/>
          <w:szCs w:val="44"/>
        </w:rPr>
        <w:t>（平安建设项目经费）</w:t>
      </w:r>
    </w:p>
    <w:p w14:paraId="6F0990B4">
      <w:pPr>
        <w:pStyle w:val="34"/>
        <w:spacing w:line="578" w:lineRule="exact"/>
        <w:ind w:firstLine="640"/>
        <w:jc w:val="center"/>
        <w:rPr>
          <w:rFonts w:ascii="Times New Roman" w:hAnsi="Times New Roman" w:eastAsia="Times New Roman"/>
          <w:color w:val="auto"/>
          <w:kern w:val="2"/>
          <w:sz w:val="32"/>
          <w:szCs w:val="32"/>
        </w:rPr>
      </w:pPr>
    </w:p>
    <w:p w14:paraId="16F6E4E3">
      <w:pPr>
        <w:adjustRightInd w:val="0"/>
        <w:snapToGrid w:val="0"/>
        <w:spacing w:line="578" w:lineRule="exact"/>
        <w:ind w:firstLine="640" w:firstLineChars="200"/>
        <w:rPr>
          <w:rFonts w:ascii="Times New Roman" w:hAnsi="Times New Roman" w:eastAsia="黑体"/>
          <w:sz w:val="32"/>
          <w:szCs w:val="32"/>
          <w:lang w:val="zh-CN"/>
        </w:rPr>
      </w:pPr>
      <w:r>
        <w:rPr>
          <w:rFonts w:ascii="Times New Roman" w:hAnsi="Times New Roman" w:eastAsia="黑体"/>
          <w:sz w:val="32"/>
          <w:szCs w:val="32"/>
        </w:rPr>
        <w:t>一、</w:t>
      </w:r>
      <w:r>
        <w:rPr>
          <w:rFonts w:ascii="Times New Roman" w:hAnsi="Times New Roman" w:eastAsia="黑体"/>
          <w:sz w:val="32"/>
          <w:szCs w:val="32"/>
          <w:lang w:val="zh-CN"/>
        </w:rPr>
        <w:t>项目概况</w:t>
      </w:r>
    </w:p>
    <w:p w14:paraId="368CEB13">
      <w:pPr>
        <w:widowControl/>
        <w:adjustRightInd w:val="0"/>
        <w:snapToGrid w:val="0"/>
        <w:spacing w:line="578" w:lineRule="exact"/>
        <w:ind w:firstLine="643" w:firstLineChars="200"/>
        <w:contextualSpacing/>
        <w:jc w:val="left"/>
        <w:rPr>
          <w:rFonts w:hint="eastAsia" w:ascii="Times New Roman" w:hAnsi="Times New Roman" w:eastAsia="仿宋_GB2312"/>
          <w:kern w:val="0"/>
          <w:sz w:val="32"/>
          <w:szCs w:val="32"/>
          <w:shd w:val="clear" w:color="auto" w:fill="FFFFFF"/>
        </w:rPr>
      </w:pPr>
      <w:r>
        <w:rPr>
          <w:rFonts w:ascii="Times New Roman" w:hAnsi="Times New Roman" w:eastAsia="楷体_GB2312"/>
          <w:b/>
          <w:sz w:val="32"/>
          <w:szCs w:val="32"/>
          <w:lang w:val="zh-CN"/>
        </w:rPr>
        <w:t>（一）设立背景及基本情况。</w:t>
      </w:r>
      <w:r>
        <w:rPr>
          <w:rFonts w:ascii="Times New Roman" w:hAnsi="Times New Roman" w:eastAsia="仿宋_GB2312"/>
          <w:kern w:val="0"/>
          <w:sz w:val="32"/>
          <w:szCs w:val="32"/>
          <w:shd w:val="clear" w:color="auto" w:fill="FFFFFF"/>
        </w:rPr>
        <w:t>项目设立原因及背景，</w:t>
      </w:r>
      <w:r>
        <w:rPr>
          <w:rFonts w:ascii="Times New Roman" w:hAnsi="Times New Roman" w:eastAsia="仿宋_GB2312"/>
          <w:kern w:val="0"/>
          <w:sz w:val="32"/>
          <w:szCs w:val="32"/>
          <w:shd w:val="clear" w:color="auto" w:fill="FFFFFF"/>
          <w:lang w:val="zh-CN"/>
        </w:rPr>
        <w:t>项目立项、资金申报的依据，项目主要内容</w:t>
      </w:r>
      <w:r>
        <w:rPr>
          <w:rFonts w:ascii="Times New Roman" w:hAnsi="Times New Roman" w:eastAsia="仿宋_GB2312"/>
          <w:kern w:val="0"/>
          <w:sz w:val="32"/>
          <w:szCs w:val="32"/>
          <w:shd w:val="clear" w:color="auto" w:fill="FFFFFF"/>
        </w:rPr>
        <w:t>。</w:t>
      </w:r>
      <w:r>
        <w:rPr>
          <w:rFonts w:ascii="Times New Roman" w:hAnsi="Times New Roman" w:eastAsia="仿宋_GB2312"/>
          <w:kern w:val="0"/>
          <w:sz w:val="32"/>
          <w:szCs w:val="32"/>
          <w:shd w:val="clear" w:color="auto" w:fill="FFFFFF"/>
          <w:lang w:val="zh-CN"/>
        </w:rPr>
        <w:t>主管部门职能。</w:t>
      </w:r>
      <w:r>
        <w:rPr>
          <w:rFonts w:hint="eastAsia" w:ascii="Times New Roman" w:hAnsi="Times New Roman" w:eastAsia="仿宋_GB2312"/>
          <w:kern w:val="0"/>
          <w:sz w:val="32"/>
          <w:szCs w:val="32"/>
          <w:shd w:val="clear" w:color="auto" w:fill="FFFFFF"/>
        </w:rPr>
        <w:t xml:space="preserve"> </w:t>
      </w:r>
    </w:p>
    <w:p w14:paraId="31ED0D17">
      <w:pPr>
        <w:widowControl/>
        <w:adjustRightInd w:val="0"/>
        <w:snapToGrid w:val="0"/>
        <w:spacing w:line="578" w:lineRule="exact"/>
        <w:ind w:firstLine="640" w:firstLineChars="200"/>
        <w:contextualSpacing/>
        <w:jc w:val="left"/>
        <w:rPr>
          <w:rFonts w:hint="eastAsia" w:ascii="Times New Roman" w:hAnsi="Times New Roman" w:eastAsia="仿宋_GB2312"/>
          <w:kern w:val="0"/>
          <w:sz w:val="32"/>
          <w:szCs w:val="32"/>
          <w:shd w:val="clear" w:color="auto" w:fill="FFFFFF"/>
        </w:rPr>
      </w:pPr>
      <w:r>
        <w:rPr>
          <w:rFonts w:hint="eastAsia" w:ascii="Times New Roman" w:hAnsi="Times New Roman" w:eastAsia="仿宋_GB2312"/>
          <w:kern w:val="0"/>
          <w:sz w:val="32"/>
          <w:szCs w:val="32"/>
          <w:shd w:val="clear" w:color="auto" w:fill="FFFFFF"/>
        </w:rPr>
        <w:t>设立依据：市委常委会七届6次7-4号、委托合同、《信息安全等级保护管理办法》公通字[2007]43号、市政府批复同意文件、《泸州市商用密码应用与安全性评估工作指南》、市政府批复同意文件。</w:t>
      </w:r>
    </w:p>
    <w:p w14:paraId="6D550EA4">
      <w:pPr>
        <w:widowControl/>
        <w:adjustRightInd w:val="0"/>
        <w:snapToGrid w:val="0"/>
        <w:spacing w:line="578" w:lineRule="exact"/>
        <w:ind w:firstLine="640" w:firstLineChars="200"/>
        <w:contextualSpacing/>
        <w:jc w:val="left"/>
        <w:rPr>
          <w:rFonts w:hint="eastAsia" w:ascii="Times New Roman" w:hAnsi="Times New Roman" w:eastAsia="仿宋_GB2312"/>
          <w:kern w:val="0"/>
          <w:sz w:val="32"/>
          <w:szCs w:val="32"/>
          <w:shd w:val="clear" w:color="auto" w:fill="FFFFFF"/>
        </w:rPr>
      </w:pPr>
      <w:r>
        <w:rPr>
          <w:rFonts w:hint="eastAsia" w:ascii="Times New Roman" w:hAnsi="Times New Roman" w:eastAsia="仿宋_GB2312"/>
          <w:kern w:val="0"/>
          <w:sz w:val="32"/>
          <w:szCs w:val="32"/>
          <w:shd w:val="clear" w:color="auto" w:fill="FFFFFF"/>
        </w:rPr>
        <w:t>资金申报依据： 1.市委常委会七届6次7-4号，泸州市常住人口*0.2元每人核定，常住人口为425.41万人，需平安创建经费37万元。2.</w:t>
      </w:r>
      <w:r>
        <w:rPr>
          <w:rFonts w:hint="eastAsia" w:ascii="Times New Roman" w:hAnsi="Times New Roman" w:eastAsia="仿宋_GB2312"/>
          <w:kern w:val="0"/>
          <w:sz w:val="32"/>
          <w:szCs w:val="32"/>
          <w:shd w:val="clear" w:color="auto" w:fill="FFFFFF"/>
          <w:lang w:val="en-US" w:eastAsia="zh-CN"/>
        </w:rPr>
        <w:t>政法宣传费用13万元</w:t>
      </w:r>
      <w:r>
        <w:rPr>
          <w:rFonts w:hint="eastAsia" w:ascii="Times New Roman" w:hAnsi="Times New Roman" w:eastAsia="仿宋_GB2312"/>
          <w:kern w:val="0"/>
          <w:sz w:val="32"/>
          <w:szCs w:val="32"/>
          <w:shd w:val="clear" w:color="auto" w:fill="FFFFFF"/>
        </w:rPr>
        <w:t>。3.综治中心现有事业编15名，临聘人员</w:t>
      </w:r>
      <w:r>
        <w:rPr>
          <w:rFonts w:hint="eastAsia" w:ascii="Times New Roman" w:hAnsi="Times New Roman" w:eastAsia="仿宋_GB2312"/>
          <w:kern w:val="0"/>
          <w:sz w:val="32"/>
          <w:szCs w:val="32"/>
          <w:shd w:val="clear" w:color="auto" w:fill="FFFFFF"/>
          <w:lang w:val="en-US" w:eastAsia="zh-CN"/>
        </w:rPr>
        <w:t>6</w:t>
      </w:r>
      <w:r>
        <w:rPr>
          <w:rFonts w:hint="eastAsia" w:ascii="Times New Roman" w:hAnsi="Times New Roman" w:eastAsia="仿宋_GB2312"/>
          <w:kern w:val="0"/>
          <w:sz w:val="32"/>
          <w:szCs w:val="32"/>
          <w:shd w:val="clear" w:color="auto" w:fill="FFFFFF"/>
        </w:rPr>
        <w:t>名，5万元/人/年，人员工资</w:t>
      </w:r>
      <w:r>
        <w:rPr>
          <w:rFonts w:hint="eastAsia" w:ascii="Times New Roman" w:hAnsi="Times New Roman" w:eastAsia="仿宋_GB2312"/>
          <w:kern w:val="0"/>
          <w:sz w:val="32"/>
          <w:szCs w:val="32"/>
          <w:shd w:val="clear" w:color="auto" w:fill="FFFFFF"/>
          <w:lang w:val="en-US" w:eastAsia="zh-CN"/>
        </w:rPr>
        <w:t>6*5</w:t>
      </w:r>
      <w:r>
        <w:rPr>
          <w:rFonts w:hint="eastAsia" w:ascii="Times New Roman" w:hAnsi="Times New Roman" w:eastAsia="仿宋_GB2312"/>
          <w:kern w:val="0"/>
          <w:sz w:val="32"/>
          <w:szCs w:val="32"/>
          <w:shd w:val="clear" w:color="auto" w:fill="FFFFFF"/>
        </w:rPr>
        <w:t>万元/年=</w:t>
      </w:r>
      <w:r>
        <w:rPr>
          <w:rFonts w:hint="eastAsia" w:ascii="Times New Roman" w:hAnsi="Times New Roman" w:eastAsia="仿宋_GB2312"/>
          <w:kern w:val="0"/>
          <w:sz w:val="32"/>
          <w:szCs w:val="32"/>
          <w:shd w:val="clear" w:color="auto" w:fill="FFFFFF"/>
          <w:lang w:val="en-US" w:eastAsia="zh-CN"/>
        </w:rPr>
        <w:t>30</w:t>
      </w:r>
      <w:r>
        <w:rPr>
          <w:rFonts w:hint="eastAsia" w:ascii="Times New Roman" w:hAnsi="Times New Roman" w:eastAsia="仿宋_GB2312"/>
          <w:kern w:val="0"/>
          <w:sz w:val="32"/>
          <w:szCs w:val="32"/>
          <w:shd w:val="clear" w:color="auto" w:fill="FFFFFF"/>
        </w:rPr>
        <w:t>万元,办公费9万元/年,大联动指挥协调费</w:t>
      </w:r>
      <w:r>
        <w:rPr>
          <w:rFonts w:hint="eastAsia" w:ascii="Times New Roman" w:hAnsi="Times New Roman" w:eastAsia="仿宋_GB2312"/>
          <w:kern w:val="0"/>
          <w:sz w:val="32"/>
          <w:szCs w:val="32"/>
          <w:shd w:val="clear" w:color="auto" w:fill="FFFFFF"/>
          <w:lang w:val="en-US" w:eastAsia="zh-CN"/>
        </w:rPr>
        <w:t>2</w:t>
      </w:r>
      <w:r>
        <w:rPr>
          <w:rFonts w:hint="eastAsia" w:ascii="Times New Roman" w:hAnsi="Times New Roman" w:eastAsia="仿宋_GB2312"/>
          <w:kern w:val="0"/>
          <w:sz w:val="32"/>
          <w:szCs w:val="32"/>
          <w:shd w:val="clear" w:color="auto" w:fill="FFFFFF"/>
        </w:rPr>
        <w:t>5万元/年,平台设备运行费用39万元/年,平台信息化设备维护25万元/年,需综治中心运行经费</w:t>
      </w:r>
      <w:r>
        <w:rPr>
          <w:rFonts w:hint="eastAsia" w:ascii="Times New Roman" w:hAnsi="Times New Roman" w:eastAsia="仿宋_GB2312"/>
          <w:kern w:val="0"/>
          <w:sz w:val="32"/>
          <w:szCs w:val="32"/>
          <w:shd w:val="clear" w:color="auto" w:fill="FFFFFF"/>
          <w:lang w:val="en-US" w:eastAsia="zh-CN"/>
        </w:rPr>
        <w:t>128</w:t>
      </w:r>
      <w:r>
        <w:rPr>
          <w:rFonts w:hint="eastAsia" w:ascii="Times New Roman" w:hAnsi="Times New Roman" w:eastAsia="仿宋_GB2312"/>
          <w:kern w:val="0"/>
          <w:sz w:val="32"/>
          <w:szCs w:val="32"/>
          <w:shd w:val="clear" w:color="auto" w:fill="FFFFFF"/>
        </w:rPr>
        <w:t>万元。4.市域社会治理现代化经费涉密，共需经费62万元。5.扫黑除恶工作经费涉密，共需经费32万元。6.按给予5万元/人的标准进行表彰，按照每年10名进行概算计50万元，保险25万元，慰问5万元，需见义勇为经费80万元。</w:t>
      </w:r>
    </w:p>
    <w:p w14:paraId="72783F9C">
      <w:pPr>
        <w:widowControl/>
        <w:adjustRightInd w:val="0"/>
        <w:snapToGrid w:val="0"/>
        <w:spacing w:line="578" w:lineRule="exact"/>
        <w:ind w:firstLine="640" w:firstLineChars="200"/>
        <w:contextualSpacing/>
        <w:jc w:val="left"/>
        <w:rPr>
          <w:rFonts w:ascii="Times New Roman" w:hAnsi="Times New Roman" w:eastAsia="仿宋_GB2312"/>
          <w:kern w:val="0"/>
          <w:sz w:val="32"/>
          <w:szCs w:val="32"/>
          <w:shd w:val="clear" w:color="auto" w:fill="FFFFFF"/>
        </w:rPr>
      </w:pPr>
      <w:r>
        <w:rPr>
          <w:rFonts w:hint="eastAsia" w:ascii="Times New Roman" w:hAnsi="Times New Roman" w:eastAsia="仿宋_GB2312"/>
          <w:kern w:val="0"/>
          <w:sz w:val="32"/>
          <w:szCs w:val="32"/>
          <w:shd w:val="clear" w:color="auto" w:fill="FFFFFF"/>
        </w:rPr>
        <w:t>项目主要内容：围绕社会治安防控、矛盾纠纷化解、基层社会治理、公共安全维护等重点领域展开，指在提升群众安全感和满意度。</w:t>
      </w:r>
    </w:p>
    <w:p w14:paraId="70D915F4">
      <w:pPr>
        <w:adjustRightInd w:val="0"/>
        <w:snapToGrid w:val="0"/>
        <w:spacing w:line="578" w:lineRule="exact"/>
        <w:ind w:firstLine="643" w:firstLineChars="200"/>
        <w:rPr>
          <w:rFonts w:ascii="Times New Roman" w:hAnsi="Times New Roman" w:eastAsia="仿宋_GB2312" w:cs="Times New Roman"/>
          <w:kern w:val="0"/>
          <w:sz w:val="32"/>
          <w:szCs w:val="32"/>
          <w:shd w:val="clear" w:color="auto" w:fill="FFFFFF"/>
          <w:lang w:val="zh-CN"/>
        </w:rPr>
      </w:pPr>
      <w:r>
        <w:rPr>
          <w:rFonts w:ascii="Times New Roman" w:hAnsi="Times New Roman" w:eastAsia="楷体_GB2312"/>
          <w:b/>
          <w:sz w:val="32"/>
          <w:szCs w:val="32"/>
          <w:lang w:val="zh-CN"/>
        </w:rPr>
        <w:t>（二）</w:t>
      </w:r>
      <w:r>
        <w:rPr>
          <w:rFonts w:ascii="Times New Roman" w:hAnsi="Times New Roman" w:eastAsia="楷体_GB2312"/>
          <w:b/>
          <w:sz w:val="32"/>
          <w:szCs w:val="32"/>
        </w:rPr>
        <w:t>实施目的及支持方向。</w:t>
      </w:r>
    </w:p>
    <w:p w14:paraId="6E5082E2">
      <w:pPr>
        <w:widowControl/>
        <w:adjustRightInd w:val="0"/>
        <w:snapToGrid w:val="0"/>
        <w:spacing w:line="578" w:lineRule="exact"/>
        <w:ind w:firstLine="640" w:firstLineChars="200"/>
        <w:contextualSpacing/>
        <w:jc w:val="left"/>
        <w:rPr>
          <w:rFonts w:ascii="Times New Roman" w:hAnsi="Times New Roman" w:eastAsia="仿宋_GB2312" w:cs="Times New Roman"/>
          <w:kern w:val="0"/>
          <w:sz w:val="32"/>
          <w:szCs w:val="32"/>
          <w:shd w:val="clear" w:color="auto" w:fill="FFFFFF"/>
        </w:rPr>
      </w:pPr>
      <w:r>
        <w:rPr>
          <w:rFonts w:hint="eastAsia" w:ascii="Times New Roman" w:hAnsi="Times New Roman" w:eastAsia="仿宋_GB2312" w:cs="Times New Roman"/>
          <w:kern w:val="0"/>
          <w:sz w:val="32"/>
          <w:szCs w:val="32"/>
          <w:shd w:val="clear" w:color="auto" w:fill="FFFFFF"/>
        </w:rPr>
        <w:t>为了加强项目经费的规范化、科学化管理，保险项目顺利实施，提高资金使用效益，制定了相关的项目资金管理办法。明确了资金管理主体、使用原则和监督机制。</w:t>
      </w:r>
    </w:p>
    <w:p w14:paraId="2902BFC3">
      <w:pPr>
        <w:widowControl/>
        <w:adjustRightInd w:val="0"/>
        <w:snapToGrid w:val="0"/>
        <w:spacing w:line="578" w:lineRule="exact"/>
        <w:ind w:firstLine="640" w:firstLineChars="200"/>
        <w:contextualSpacing/>
        <w:jc w:val="left"/>
        <w:rPr>
          <w:rFonts w:hint="eastAsia" w:ascii="Times New Roman" w:hAnsi="Times New Roman" w:eastAsia="仿宋_GB2312" w:cs="Times New Roman"/>
          <w:kern w:val="0"/>
          <w:sz w:val="32"/>
          <w:szCs w:val="32"/>
          <w:shd w:val="clear" w:color="auto" w:fill="FFFFFF"/>
          <w:lang w:val="zh-CN"/>
        </w:rPr>
      </w:pPr>
      <w:r>
        <w:rPr>
          <w:rFonts w:ascii="Times New Roman" w:hAnsi="Times New Roman" w:eastAsia="仿宋_GB2312" w:cs="Times New Roman"/>
          <w:kern w:val="0"/>
          <w:sz w:val="32"/>
          <w:szCs w:val="32"/>
          <w:shd w:val="clear" w:color="auto" w:fill="FFFFFF"/>
          <w:lang w:val="zh-CN"/>
        </w:rPr>
        <w:t>项目实施目的</w:t>
      </w:r>
      <w:r>
        <w:rPr>
          <w:rFonts w:hint="eastAsia" w:ascii="Times New Roman" w:hAnsi="Times New Roman" w:eastAsia="仿宋_GB2312" w:cs="Times New Roman"/>
          <w:kern w:val="0"/>
          <w:sz w:val="32"/>
          <w:szCs w:val="32"/>
          <w:shd w:val="clear" w:color="auto" w:fill="FFFFFF"/>
          <w:lang w:val="zh-CN"/>
        </w:rPr>
        <w:t>：</w:t>
      </w:r>
    </w:p>
    <w:p w14:paraId="6CCEBC05">
      <w:pPr>
        <w:widowControl/>
        <w:adjustRightInd w:val="0"/>
        <w:snapToGrid w:val="0"/>
        <w:spacing w:line="578" w:lineRule="exact"/>
        <w:ind w:firstLine="640" w:firstLineChars="200"/>
        <w:contextualSpacing/>
        <w:jc w:val="left"/>
        <w:rPr>
          <w:rFonts w:hint="eastAsia" w:ascii="Times New Roman" w:hAnsi="Times New Roman" w:eastAsia="仿宋_GB2312" w:cs="Times New Roman"/>
          <w:kern w:val="0"/>
          <w:sz w:val="32"/>
          <w:szCs w:val="32"/>
          <w:shd w:val="clear" w:color="auto" w:fill="FFFFFF"/>
        </w:rPr>
      </w:pPr>
      <w:r>
        <w:rPr>
          <w:rFonts w:hint="eastAsia" w:ascii="Times New Roman" w:hAnsi="Times New Roman" w:eastAsia="仿宋_GB2312" w:cs="Times New Roman"/>
          <w:kern w:val="0"/>
          <w:sz w:val="32"/>
          <w:szCs w:val="32"/>
          <w:shd w:val="clear" w:color="auto" w:fill="FFFFFF"/>
        </w:rPr>
        <w:t xml:space="preserve">泸州市平安建设经费的设立和实施，旨在贯彻落实中央和四川省关于平安建设的决策部署，全面提升社会治理现代化水平，保障人民群众生命财产安全，维护社会和谐稳定。具体目标包括：  </w:t>
      </w:r>
    </w:p>
    <w:p w14:paraId="21E65B39">
      <w:pPr>
        <w:widowControl/>
        <w:adjustRightInd w:val="0"/>
        <w:snapToGrid w:val="0"/>
        <w:spacing w:line="578" w:lineRule="exact"/>
        <w:ind w:firstLine="640" w:firstLineChars="200"/>
        <w:contextualSpacing/>
        <w:jc w:val="left"/>
        <w:rPr>
          <w:rFonts w:hint="eastAsia" w:ascii="Times New Roman" w:hAnsi="Times New Roman" w:eastAsia="仿宋_GB2312" w:cs="Times New Roman"/>
          <w:kern w:val="0"/>
          <w:sz w:val="32"/>
          <w:szCs w:val="32"/>
          <w:shd w:val="clear" w:color="auto" w:fill="FFFFFF"/>
        </w:rPr>
      </w:pPr>
      <w:r>
        <w:rPr>
          <w:rFonts w:hint="eastAsia" w:ascii="Times New Roman" w:hAnsi="Times New Roman" w:eastAsia="仿宋_GB2312" w:cs="Times New Roman"/>
          <w:kern w:val="0"/>
          <w:sz w:val="32"/>
          <w:szCs w:val="32"/>
          <w:shd w:val="clear" w:color="auto" w:fill="FFFFFF"/>
        </w:rPr>
        <w:t xml:space="preserve">1.强化社会治安防控：通过科技手段和群防群治，降低刑事、治安案件发案率，提升群众安全感。  </w:t>
      </w:r>
    </w:p>
    <w:p w14:paraId="1BD04579">
      <w:pPr>
        <w:widowControl/>
        <w:adjustRightInd w:val="0"/>
        <w:snapToGrid w:val="0"/>
        <w:spacing w:line="578" w:lineRule="exact"/>
        <w:ind w:firstLine="640" w:firstLineChars="200"/>
        <w:contextualSpacing/>
        <w:jc w:val="left"/>
        <w:rPr>
          <w:rFonts w:hint="eastAsia" w:ascii="Times New Roman" w:hAnsi="Times New Roman" w:eastAsia="仿宋_GB2312" w:cs="Times New Roman"/>
          <w:kern w:val="0"/>
          <w:sz w:val="32"/>
          <w:szCs w:val="32"/>
          <w:shd w:val="clear" w:color="auto" w:fill="FFFFFF"/>
        </w:rPr>
      </w:pPr>
      <w:r>
        <w:rPr>
          <w:rFonts w:hint="eastAsia" w:ascii="Times New Roman" w:hAnsi="Times New Roman" w:eastAsia="仿宋_GB2312" w:cs="Times New Roman"/>
          <w:kern w:val="0"/>
          <w:sz w:val="32"/>
          <w:szCs w:val="32"/>
          <w:shd w:val="clear" w:color="auto" w:fill="FFFFFF"/>
        </w:rPr>
        <w:t xml:space="preserve">2. 化解社会矛盾风险：健全多元纠纷化解机制，减少信访积案和群体性事件。  </w:t>
      </w:r>
    </w:p>
    <w:p w14:paraId="701793B2">
      <w:pPr>
        <w:widowControl/>
        <w:adjustRightInd w:val="0"/>
        <w:snapToGrid w:val="0"/>
        <w:spacing w:line="578" w:lineRule="exact"/>
        <w:ind w:firstLine="640" w:firstLineChars="200"/>
        <w:contextualSpacing/>
        <w:jc w:val="left"/>
        <w:rPr>
          <w:rFonts w:hint="eastAsia" w:ascii="Times New Roman" w:hAnsi="Times New Roman" w:eastAsia="仿宋_GB2312" w:cs="Times New Roman"/>
          <w:kern w:val="0"/>
          <w:sz w:val="32"/>
          <w:szCs w:val="32"/>
          <w:shd w:val="clear" w:color="auto" w:fill="FFFFFF"/>
        </w:rPr>
      </w:pPr>
      <w:r>
        <w:rPr>
          <w:rFonts w:hint="eastAsia" w:ascii="Times New Roman" w:hAnsi="Times New Roman" w:eastAsia="仿宋_GB2312" w:cs="Times New Roman"/>
          <w:kern w:val="0"/>
          <w:sz w:val="32"/>
          <w:szCs w:val="32"/>
          <w:shd w:val="clear" w:color="auto" w:fill="FFFFFF"/>
        </w:rPr>
        <w:t xml:space="preserve">3. 夯实基层治理基础：增强社区（村）网格化管理能力，推动平安建设向基层延伸。  </w:t>
      </w:r>
    </w:p>
    <w:p w14:paraId="643D396E">
      <w:pPr>
        <w:widowControl/>
        <w:adjustRightInd w:val="0"/>
        <w:snapToGrid w:val="0"/>
        <w:spacing w:line="578" w:lineRule="exact"/>
        <w:ind w:firstLine="640" w:firstLineChars="200"/>
        <w:contextualSpacing/>
        <w:jc w:val="left"/>
        <w:rPr>
          <w:rFonts w:hint="eastAsia" w:ascii="Times New Roman" w:hAnsi="Times New Roman" w:eastAsia="仿宋_GB2312" w:cs="Times New Roman"/>
          <w:kern w:val="0"/>
          <w:sz w:val="32"/>
          <w:szCs w:val="32"/>
          <w:shd w:val="clear" w:color="auto" w:fill="FFFFFF"/>
        </w:rPr>
      </w:pPr>
      <w:r>
        <w:rPr>
          <w:rFonts w:hint="eastAsia" w:ascii="Times New Roman" w:hAnsi="Times New Roman" w:eastAsia="仿宋_GB2312" w:cs="Times New Roman"/>
          <w:kern w:val="0"/>
          <w:sz w:val="32"/>
          <w:szCs w:val="32"/>
          <w:shd w:val="clear" w:color="auto" w:fill="FFFFFF"/>
        </w:rPr>
        <w:t xml:space="preserve">4. 提升公共安全水平：加强安全生产、防灾减灾、应急管理，防范重大安全事故。  </w:t>
      </w:r>
    </w:p>
    <w:p w14:paraId="07675A6B">
      <w:pPr>
        <w:widowControl/>
        <w:adjustRightInd w:val="0"/>
        <w:snapToGrid w:val="0"/>
        <w:spacing w:line="578" w:lineRule="exact"/>
        <w:ind w:firstLine="640" w:firstLineChars="200"/>
        <w:contextualSpacing/>
        <w:jc w:val="left"/>
        <w:rPr>
          <w:rFonts w:ascii="Times New Roman" w:hAnsi="Times New Roman" w:eastAsia="仿宋_GB2312" w:cs="Times New Roman"/>
          <w:kern w:val="0"/>
          <w:sz w:val="32"/>
          <w:szCs w:val="32"/>
          <w:shd w:val="clear" w:color="auto" w:fill="FFFFFF"/>
        </w:rPr>
      </w:pPr>
      <w:r>
        <w:rPr>
          <w:rFonts w:hint="eastAsia" w:ascii="Times New Roman" w:hAnsi="Times New Roman" w:eastAsia="仿宋_GB2312" w:cs="Times New Roman"/>
          <w:kern w:val="0"/>
          <w:sz w:val="32"/>
          <w:szCs w:val="32"/>
          <w:shd w:val="clear" w:color="auto" w:fill="FFFFFF"/>
        </w:rPr>
        <w:t>5. 促进社会协同共治：鼓励社会组织、企业和群众参与平安建设，形成共建共治共享格局。</w:t>
      </w:r>
    </w:p>
    <w:p w14:paraId="5A583B8E">
      <w:pPr>
        <w:widowControl/>
        <w:adjustRightInd w:val="0"/>
        <w:snapToGrid w:val="0"/>
        <w:spacing w:line="560" w:lineRule="exact"/>
        <w:ind w:firstLine="643" w:firstLineChars="200"/>
        <w:contextualSpacing/>
        <w:jc w:val="left"/>
        <w:rPr>
          <w:rFonts w:hint="eastAsia" w:ascii="Times New Roman" w:hAnsi="Times New Roman" w:eastAsia="仿宋_GB2312" w:cs="Times New Roman"/>
          <w:kern w:val="0"/>
          <w:sz w:val="32"/>
          <w:szCs w:val="32"/>
          <w:shd w:val="clear" w:color="auto" w:fill="FFFFFF"/>
          <w:lang w:val="zh-CN"/>
        </w:rPr>
      </w:pPr>
      <w:r>
        <w:rPr>
          <w:rFonts w:ascii="Times New Roman" w:hAnsi="Times New Roman" w:eastAsia="楷体_GB2312"/>
          <w:b/>
          <w:sz w:val="32"/>
          <w:szCs w:val="32"/>
          <w:lang w:val="zh-CN"/>
        </w:rPr>
        <w:t>（三）</w:t>
      </w:r>
      <w:r>
        <w:rPr>
          <w:rFonts w:ascii="Times New Roman" w:hAnsi="Times New Roman" w:eastAsia="楷体_GB2312"/>
          <w:b/>
          <w:sz w:val="32"/>
          <w:szCs w:val="32"/>
        </w:rPr>
        <w:t>预算安排及分配管理</w:t>
      </w:r>
      <w:r>
        <w:rPr>
          <w:rFonts w:ascii="Times New Roman" w:hAnsi="Times New Roman" w:eastAsia="楷体_GB2312"/>
          <w:b/>
          <w:sz w:val="32"/>
          <w:szCs w:val="32"/>
          <w:lang w:val="zh-CN"/>
        </w:rPr>
        <w:t>。</w:t>
      </w:r>
    </w:p>
    <w:p w14:paraId="3AA26781">
      <w:pPr>
        <w:widowControl/>
        <w:adjustRightInd w:val="0"/>
        <w:snapToGrid w:val="0"/>
        <w:spacing w:line="578" w:lineRule="exact"/>
        <w:ind w:firstLine="640" w:firstLineChars="200"/>
        <w:contextualSpacing/>
        <w:jc w:val="left"/>
        <w:rPr>
          <w:rFonts w:hint="eastAsia" w:ascii="Times New Roman" w:hAnsi="Times New Roman" w:eastAsia="仿宋_GB2312" w:cs="Times New Roman"/>
          <w:kern w:val="0"/>
          <w:sz w:val="32"/>
          <w:szCs w:val="32"/>
          <w:shd w:val="clear" w:color="auto" w:fill="FFFFFF"/>
        </w:rPr>
      </w:pPr>
      <w:r>
        <w:rPr>
          <w:rFonts w:hint="eastAsia" w:ascii="Times New Roman" w:hAnsi="Times New Roman" w:eastAsia="仿宋_GB2312" w:cs="Times New Roman"/>
          <w:kern w:val="0"/>
          <w:sz w:val="32"/>
          <w:szCs w:val="32"/>
          <w:shd w:val="clear" w:color="auto" w:fill="FFFFFF"/>
        </w:rPr>
        <w:t>2024年项目经费3</w:t>
      </w:r>
      <w:r>
        <w:rPr>
          <w:rFonts w:hint="eastAsia" w:ascii="Times New Roman" w:hAnsi="Times New Roman" w:eastAsia="仿宋_GB2312" w:cs="Times New Roman"/>
          <w:kern w:val="0"/>
          <w:sz w:val="32"/>
          <w:szCs w:val="32"/>
          <w:shd w:val="clear" w:color="auto" w:fill="FFFFFF"/>
          <w:lang w:val="en-US" w:eastAsia="zh-CN"/>
        </w:rPr>
        <w:t>13</w:t>
      </w:r>
      <w:r>
        <w:rPr>
          <w:rFonts w:hint="eastAsia" w:ascii="Times New Roman" w:hAnsi="Times New Roman" w:eastAsia="仿宋_GB2312" w:cs="Times New Roman"/>
          <w:kern w:val="0"/>
          <w:sz w:val="32"/>
          <w:szCs w:val="32"/>
          <w:shd w:val="clear" w:color="auto" w:fill="FFFFFF"/>
        </w:rPr>
        <w:t>万元，由政府预算资金支付。分配则是按照公平公正原则、需求导向原则、绩效与效率原则、专款专用原则、透明监督原则、可持续性原则。</w:t>
      </w:r>
    </w:p>
    <w:p w14:paraId="73DAF877">
      <w:pPr>
        <w:widowControl/>
        <w:adjustRightInd w:val="0"/>
        <w:snapToGrid w:val="0"/>
        <w:spacing w:line="578" w:lineRule="exact"/>
        <w:ind w:firstLine="640" w:firstLineChars="200"/>
        <w:contextualSpacing/>
        <w:jc w:val="left"/>
        <w:rPr>
          <w:rFonts w:hint="eastAsia" w:ascii="Times New Roman" w:hAnsi="Times New Roman" w:eastAsia="仿宋_GB2312" w:cs="Times New Roman"/>
          <w:kern w:val="0"/>
          <w:sz w:val="32"/>
          <w:szCs w:val="32"/>
          <w:shd w:val="clear" w:color="auto" w:fill="FFFFFF"/>
        </w:rPr>
      </w:pPr>
      <w:r>
        <w:rPr>
          <w:rFonts w:hint="eastAsia" w:ascii="Times New Roman" w:hAnsi="Times New Roman" w:eastAsia="仿宋_GB2312" w:cs="Times New Roman"/>
          <w:kern w:val="0"/>
          <w:sz w:val="32"/>
          <w:szCs w:val="32"/>
          <w:shd w:val="clear" w:color="auto" w:fill="FFFFFF"/>
        </w:rPr>
        <w:t>考虑因素有人口基数、治安状况、基层基础等。</w:t>
      </w:r>
    </w:p>
    <w:p w14:paraId="6ED10E6C">
      <w:pPr>
        <w:widowControl/>
        <w:adjustRightInd w:val="0"/>
        <w:snapToGrid w:val="0"/>
        <w:spacing w:line="578" w:lineRule="exact"/>
        <w:ind w:firstLine="640" w:firstLineChars="200"/>
        <w:contextualSpacing/>
        <w:jc w:val="left"/>
        <w:rPr>
          <w:rFonts w:hint="eastAsia" w:ascii="Times New Roman" w:hAnsi="Times New Roman" w:eastAsia="仿宋_GB2312" w:cs="Times New Roman"/>
          <w:kern w:val="0"/>
          <w:sz w:val="32"/>
          <w:szCs w:val="32"/>
          <w:shd w:val="clear" w:color="auto" w:fill="FFFFFF"/>
        </w:rPr>
      </w:pPr>
      <w:r>
        <w:rPr>
          <w:rFonts w:hint="eastAsia" w:ascii="Times New Roman" w:hAnsi="Times New Roman" w:eastAsia="仿宋_GB2312" w:cs="Times New Roman"/>
          <w:kern w:val="0"/>
          <w:sz w:val="32"/>
          <w:szCs w:val="32"/>
          <w:shd w:val="clear" w:color="auto" w:fill="FFFFFF"/>
        </w:rPr>
        <w:t>项目资金的分配情况： 1. 表彰见义勇为先进和保险费41万元。2.. 平安中国建设经费37万元。3.扫黑除恶工作经费涉密，共需经费32万元。4. 市域社会治理现代化经费62万元.。5. 市综治中心日常运转经费128万元，政法重点工作宣传13万元。</w:t>
      </w:r>
    </w:p>
    <w:p w14:paraId="2B49D612">
      <w:pPr>
        <w:adjustRightInd w:val="0"/>
        <w:snapToGrid w:val="0"/>
        <w:spacing w:line="578" w:lineRule="exact"/>
        <w:ind w:firstLine="643" w:firstLineChars="200"/>
        <w:rPr>
          <w:rFonts w:ascii="Times New Roman" w:hAnsi="Times New Roman" w:eastAsia="仿宋_GB2312"/>
          <w:kern w:val="0"/>
          <w:sz w:val="32"/>
          <w:szCs w:val="32"/>
          <w:shd w:val="clear" w:color="auto" w:fill="FFFFFF"/>
          <w:lang w:val="zh-CN"/>
        </w:rPr>
      </w:pPr>
      <w:r>
        <w:rPr>
          <w:rFonts w:ascii="Times New Roman" w:hAnsi="Times New Roman" w:eastAsia="楷体_GB2312"/>
          <w:b/>
          <w:sz w:val="32"/>
          <w:szCs w:val="32"/>
          <w:lang w:val="zh-CN"/>
        </w:rPr>
        <w:t>（四）项目绩效目标设置。</w:t>
      </w:r>
    </w:p>
    <w:p w14:paraId="2CA4B066">
      <w:pPr>
        <w:widowControl/>
        <w:adjustRightInd w:val="0"/>
        <w:snapToGrid w:val="0"/>
        <w:spacing w:line="578" w:lineRule="exact"/>
        <w:ind w:firstLine="640" w:firstLineChars="200"/>
        <w:contextualSpacing/>
        <w:jc w:val="left"/>
        <w:rPr>
          <w:rFonts w:hint="eastAsia" w:ascii="Times New Roman" w:hAnsi="Times New Roman" w:eastAsia="仿宋_GB2312" w:cs="Times New Roman"/>
          <w:kern w:val="0"/>
          <w:sz w:val="32"/>
          <w:szCs w:val="32"/>
          <w:shd w:val="clear" w:color="auto" w:fill="FFFFFF"/>
        </w:rPr>
      </w:pPr>
      <w:r>
        <w:rPr>
          <w:rFonts w:hint="eastAsia" w:ascii="Times New Roman" w:hAnsi="Times New Roman" w:eastAsia="仿宋_GB2312" w:cs="Times New Roman"/>
          <w:kern w:val="0"/>
          <w:sz w:val="32"/>
          <w:szCs w:val="32"/>
          <w:shd w:val="clear" w:color="auto" w:fill="FFFFFF"/>
        </w:rPr>
        <w:t>该项目按照目标设置，2024年完成了各项任务。表彰见义勇为先进个人4人，创建平安社区1500个等。社会治安层面，网格事件办结率≥95%，群众满意度≥90%。矛盾调解覆盖率达到100%。平安宣传、普法活动覆盖率≥80%。</w:t>
      </w:r>
    </w:p>
    <w:p w14:paraId="2FFB2A98">
      <w:pPr>
        <w:widowControl/>
        <w:adjustRightInd w:val="0"/>
        <w:snapToGrid w:val="0"/>
        <w:spacing w:line="578" w:lineRule="exact"/>
        <w:ind w:firstLine="640" w:firstLineChars="200"/>
        <w:contextualSpacing/>
        <w:jc w:val="left"/>
        <w:rPr>
          <w:rFonts w:hint="eastAsia" w:ascii="Times New Roman" w:hAnsi="Times New Roman" w:eastAsia="仿宋_GB2312" w:cs="Times New Roman"/>
          <w:kern w:val="0"/>
          <w:sz w:val="32"/>
          <w:szCs w:val="32"/>
          <w:shd w:val="clear" w:color="auto" w:fill="FFFFFF"/>
        </w:rPr>
      </w:pPr>
      <w:r>
        <w:rPr>
          <w:rFonts w:hint="eastAsia" w:ascii="Times New Roman" w:hAnsi="Times New Roman" w:eastAsia="仿宋_GB2312" w:cs="Times New Roman"/>
          <w:kern w:val="0"/>
          <w:sz w:val="32"/>
          <w:szCs w:val="32"/>
          <w:shd w:val="clear" w:color="auto" w:fill="FFFFFF"/>
        </w:rPr>
        <w:t>项目自评工作流程规范，对各项指标任务完成结果进行逐条分析。并对项目成果应用于下年度预算，吸取经验教训。每年对资金使用对照绩效目标提交自评报告。市委政法委组建专班，通过实地检查、数据比对核实自评结果。</w:t>
      </w:r>
    </w:p>
    <w:p w14:paraId="42711C7B">
      <w:pPr>
        <w:adjustRightInd w:val="0"/>
        <w:snapToGrid w:val="0"/>
        <w:spacing w:line="578" w:lineRule="exact"/>
        <w:ind w:firstLine="640" w:firstLineChars="200"/>
        <w:rPr>
          <w:rFonts w:ascii="Times New Roman" w:hAnsi="Times New Roman" w:eastAsia="黑体"/>
          <w:sz w:val="32"/>
          <w:szCs w:val="32"/>
        </w:rPr>
      </w:pPr>
      <w:r>
        <w:rPr>
          <w:rFonts w:ascii="Times New Roman" w:hAnsi="Times New Roman" w:eastAsia="黑体"/>
          <w:sz w:val="32"/>
          <w:szCs w:val="32"/>
        </w:rPr>
        <w:t>二、评价实施</w:t>
      </w:r>
    </w:p>
    <w:p w14:paraId="1C366BB1">
      <w:pPr>
        <w:spacing w:line="578" w:lineRule="exact"/>
        <w:ind w:firstLine="640"/>
        <w:rPr>
          <w:rFonts w:ascii="Times New Roman" w:hAnsi="Times New Roman" w:eastAsia="仿宋_GB2312"/>
          <w:sz w:val="32"/>
          <w:szCs w:val="32"/>
        </w:rPr>
      </w:pPr>
      <w:r>
        <w:rPr>
          <w:rFonts w:ascii="Times New Roman" w:hAnsi="Times New Roman" w:eastAsia="楷体_GB2312"/>
          <w:b/>
          <w:sz w:val="32"/>
          <w:szCs w:val="32"/>
          <w:lang w:val="zh-CN"/>
        </w:rPr>
        <w:t>（一）评价目的。</w:t>
      </w:r>
    </w:p>
    <w:p w14:paraId="032041FE">
      <w:pPr>
        <w:widowControl/>
        <w:adjustRightInd w:val="0"/>
        <w:snapToGrid w:val="0"/>
        <w:spacing w:line="578" w:lineRule="exact"/>
        <w:ind w:firstLine="640" w:firstLineChars="200"/>
        <w:contextualSpacing/>
        <w:jc w:val="left"/>
        <w:rPr>
          <w:rFonts w:ascii="Times New Roman" w:hAnsi="Times New Roman" w:eastAsia="仿宋_GB2312"/>
          <w:sz w:val="32"/>
          <w:szCs w:val="32"/>
        </w:rPr>
      </w:pPr>
      <w:r>
        <w:rPr>
          <w:rFonts w:hint="eastAsia" w:ascii="Times New Roman" w:hAnsi="Times New Roman" w:eastAsia="仿宋_GB2312" w:cs="Times New Roman"/>
          <w:kern w:val="0"/>
          <w:sz w:val="32"/>
          <w:szCs w:val="32"/>
          <w:shd w:val="clear" w:color="auto" w:fill="FFFFFF"/>
        </w:rPr>
        <w:t>通过科学、系统的评估机制，确保经费使用和项目实施达到预期目标，实现资源优化配置。判断项目是否实现预期目标。发现问题短板，推动精准整改。促进科学决策，提升治理能力。回应公众关切，增加社会信任。</w:t>
      </w:r>
    </w:p>
    <w:p w14:paraId="66E6D903">
      <w:pPr>
        <w:adjustRightInd w:val="0"/>
        <w:snapToGrid w:val="0"/>
        <w:spacing w:line="578" w:lineRule="exact"/>
        <w:ind w:firstLine="643" w:firstLineChars="200"/>
        <w:rPr>
          <w:rFonts w:hint="eastAsia" w:ascii="Times New Roman" w:hAnsi="Times New Roman" w:eastAsia="仿宋_GB2312" w:cs="Times New Roman"/>
          <w:kern w:val="0"/>
          <w:sz w:val="32"/>
          <w:szCs w:val="32"/>
          <w:shd w:val="clear" w:color="auto" w:fill="FFFFFF"/>
        </w:rPr>
      </w:pPr>
      <w:r>
        <w:rPr>
          <w:rFonts w:ascii="Times New Roman" w:hAnsi="Times New Roman" w:eastAsia="楷体_GB2312"/>
          <w:b/>
          <w:sz w:val="32"/>
          <w:szCs w:val="32"/>
          <w:lang w:val="zh-CN"/>
        </w:rPr>
        <w:t>（二）预设问题及评价重点。</w:t>
      </w:r>
    </w:p>
    <w:p w14:paraId="1B7818C7">
      <w:pPr>
        <w:widowControl/>
        <w:adjustRightInd w:val="0"/>
        <w:snapToGrid w:val="0"/>
        <w:spacing w:line="578" w:lineRule="exact"/>
        <w:ind w:firstLine="640" w:firstLineChars="200"/>
        <w:contextualSpacing/>
        <w:jc w:val="left"/>
        <w:rPr>
          <w:rFonts w:hint="eastAsia" w:ascii="Times New Roman" w:hAnsi="Times New Roman" w:eastAsia="仿宋_GB2312" w:cs="Times New Roman"/>
          <w:kern w:val="0"/>
          <w:sz w:val="32"/>
          <w:szCs w:val="32"/>
          <w:shd w:val="clear" w:color="auto" w:fill="FFFFFF"/>
        </w:rPr>
      </w:pPr>
      <w:r>
        <w:rPr>
          <w:rFonts w:hint="eastAsia" w:ascii="Times New Roman" w:hAnsi="Times New Roman" w:eastAsia="仿宋_GB2312" w:cs="Times New Roman"/>
          <w:kern w:val="0"/>
          <w:sz w:val="32"/>
          <w:szCs w:val="32"/>
          <w:shd w:val="clear" w:color="auto" w:fill="FFFFFF"/>
        </w:rPr>
        <w:t>绩效评价指标体系遵循科学性、系统性、可比性、可操作性、动态性原则。2024年该项目资金到位率100%，资金按预算用途使用，无违反规定行为。项目按照正常流程和进度开展，并与其它部门进行交流协作，共同完成。项目进行过程中有事前评估、事中监督、事后分析、总结。</w:t>
      </w:r>
    </w:p>
    <w:p w14:paraId="15A9DD70">
      <w:pPr>
        <w:widowControl/>
        <w:adjustRightInd w:val="0"/>
        <w:snapToGrid w:val="0"/>
        <w:spacing w:line="578" w:lineRule="exact"/>
        <w:ind w:firstLine="643" w:firstLineChars="200"/>
        <w:contextualSpacing/>
        <w:jc w:val="left"/>
        <w:rPr>
          <w:rFonts w:hint="eastAsia" w:ascii="Times New Roman" w:hAnsi="Times New Roman" w:eastAsia="仿宋_GB2312" w:cs="Times New Roman"/>
          <w:kern w:val="0"/>
          <w:sz w:val="32"/>
          <w:szCs w:val="32"/>
          <w:shd w:val="clear" w:color="auto" w:fill="FFFFFF"/>
        </w:rPr>
      </w:pPr>
      <w:r>
        <w:rPr>
          <w:rFonts w:ascii="Times New Roman" w:hAnsi="Times New Roman" w:eastAsia="楷体_GB2312"/>
          <w:b/>
          <w:sz w:val="32"/>
          <w:szCs w:val="32"/>
          <w:lang w:val="zh-CN"/>
        </w:rPr>
        <w:t>（三）评价选点。</w:t>
      </w:r>
      <w:r>
        <w:rPr>
          <w:rFonts w:hint="eastAsia" w:ascii="Times New Roman" w:hAnsi="Times New Roman" w:eastAsia="仿宋_GB2312" w:cs="Times New Roman"/>
          <w:kern w:val="0"/>
          <w:sz w:val="32"/>
          <w:szCs w:val="32"/>
          <w:shd w:val="clear" w:color="auto" w:fill="FFFFFF"/>
          <w:lang w:val="zh-CN"/>
        </w:rPr>
        <w:t>项目绩效自评所抽样点位情况。每个专项预算项目</w:t>
      </w:r>
      <w:r>
        <w:rPr>
          <w:rFonts w:hint="eastAsia" w:ascii="Times New Roman" w:hAnsi="Times New Roman" w:eastAsia="仿宋_GB2312" w:cs="Times New Roman"/>
          <w:kern w:val="0"/>
          <w:sz w:val="32"/>
          <w:szCs w:val="32"/>
          <w:shd w:val="clear" w:color="auto" w:fill="FFFFFF"/>
        </w:rPr>
        <w:t>应选取专项资金分配涉及市县总数的20%、总计不超过</w:t>
      </w:r>
      <w:r>
        <w:rPr>
          <w:rFonts w:hint="eastAsia" w:ascii="Times New Roman" w:hAnsi="Times New Roman" w:eastAsia="仿宋_GB2312" w:cs="Times New Roman"/>
          <w:kern w:val="0"/>
          <w:sz w:val="32"/>
          <w:szCs w:val="32"/>
          <w:shd w:val="clear" w:color="auto" w:fill="FFFFFF"/>
          <w:lang w:val="en-US" w:eastAsia="zh-CN"/>
        </w:rPr>
        <w:t>7</w:t>
      </w:r>
      <w:r>
        <w:rPr>
          <w:rFonts w:hint="eastAsia" w:ascii="Times New Roman" w:hAnsi="Times New Roman" w:eastAsia="仿宋_GB2312" w:cs="Times New Roman"/>
          <w:kern w:val="0"/>
          <w:sz w:val="32"/>
          <w:szCs w:val="32"/>
          <w:shd w:val="clear" w:color="auto" w:fill="FFFFFF"/>
        </w:rPr>
        <w:t>个的市县点位进行实地踏勘，且点位清单应作为自评附表。</w:t>
      </w:r>
    </w:p>
    <w:p w14:paraId="5230E8B6">
      <w:pPr>
        <w:widowControl/>
        <w:adjustRightInd w:val="0"/>
        <w:snapToGrid w:val="0"/>
        <w:spacing w:line="578" w:lineRule="exact"/>
        <w:ind w:firstLine="640" w:firstLineChars="200"/>
        <w:contextualSpacing/>
        <w:jc w:val="left"/>
        <w:rPr>
          <w:rFonts w:hint="eastAsia" w:ascii="Times New Roman" w:hAnsi="Times New Roman" w:eastAsia="仿宋_GB2312" w:cs="Times New Roman"/>
          <w:kern w:val="0"/>
          <w:sz w:val="32"/>
          <w:szCs w:val="32"/>
          <w:shd w:val="clear" w:color="auto" w:fill="FFFFFF"/>
        </w:rPr>
      </w:pPr>
      <w:r>
        <w:rPr>
          <w:rFonts w:hint="eastAsia" w:ascii="Times New Roman" w:hAnsi="Times New Roman" w:eastAsia="仿宋_GB2312" w:cs="Times New Roman"/>
          <w:kern w:val="0"/>
          <w:sz w:val="32"/>
          <w:szCs w:val="32"/>
          <w:shd w:val="clear" w:color="auto" w:fill="FFFFFF"/>
        </w:rPr>
        <w:t>抽样点位选取原则，典型性原则、问题导向原则、覆盖全面原则、动态调整原则。抽样点位重点为资金使用的合规性、目标达成度、社会效益真实性等。</w:t>
      </w:r>
    </w:p>
    <w:p w14:paraId="5C5B0C72">
      <w:pPr>
        <w:spacing w:line="578" w:lineRule="exact"/>
        <w:ind w:firstLine="640"/>
        <w:rPr>
          <w:rFonts w:ascii="Times New Roman" w:hAnsi="Times New Roman" w:eastAsia="仿宋_GB2312"/>
          <w:sz w:val="32"/>
          <w:szCs w:val="32"/>
        </w:rPr>
      </w:pPr>
      <w:r>
        <w:rPr>
          <w:rFonts w:ascii="Times New Roman" w:hAnsi="Times New Roman" w:eastAsia="楷体_GB2312"/>
          <w:b/>
          <w:sz w:val="32"/>
          <w:szCs w:val="32"/>
          <w:lang w:val="zh-CN"/>
        </w:rPr>
        <w:t>（四）评价方法。</w:t>
      </w:r>
    </w:p>
    <w:p w14:paraId="7EBD45CB">
      <w:pPr>
        <w:widowControl/>
        <w:adjustRightInd w:val="0"/>
        <w:snapToGrid w:val="0"/>
        <w:spacing w:line="578" w:lineRule="exact"/>
        <w:ind w:firstLine="640" w:firstLineChars="200"/>
        <w:contextualSpacing/>
        <w:jc w:val="left"/>
        <w:rPr>
          <w:rFonts w:hint="eastAsia" w:ascii="Times New Roman" w:hAnsi="Times New Roman" w:eastAsia="仿宋_GB2312" w:cs="Times New Roman"/>
          <w:kern w:val="0"/>
          <w:sz w:val="32"/>
          <w:szCs w:val="32"/>
          <w:shd w:val="clear" w:color="auto" w:fill="FFFFFF"/>
        </w:rPr>
      </w:pPr>
      <w:r>
        <w:rPr>
          <w:rFonts w:hint="eastAsia" w:ascii="Times New Roman" w:hAnsi="Times New Roman" w:eastAsia="仿宋_GB2312" w:cs="Times New Roman"/>
          <w:kern w:val="0"/>
          <w:sz w:val="32"/>
          <w:szCs w:val="32"/>
          <w:shd w:val="clear" w:color="auto" w:fill="FFFFFF"/>
        </w:rPr>
        <w:t>该项目主要采取的评价方法为：</w:t>
      </w:r>
    </w:p>
    <w:p w14:paraId="744F1902">
      <w:pPr>
        <w:widowControl/>
        <w:adjustRightInd w:val="0"/>
        <w:snapToGrid w:val="0"/>
        <w:spacing w:line="578" w:lineRule="exact"/>
        <w:ind w:firstLine="640" w:firstLineChars="200"/>
        <w:contextualSpacing/>
        <w:jc w:val="left"/>
        <w:rPr>
          <w:rFonts w:hint="eastAsia" w:ascii="Times New Roman" w:hAnsi="Times New Roman" w:eastAsia="仿宋_GB2312" w:cs="Times New Roman"/>
          <w:kern w:val="0"/>
          <w:sz w:val="32"/>
          <w:szCs w:val="32"/>
          <w:shd w:val="clear" w:color="auto" w:fill="FFFFFF"/>
        </w:rPr>
      </w:pPr>
      <w:r>
        <w:rPr>
          <w:rFonts w:hint="eastAsia" w:ascii="Times New Roman" w:hAnsi="Times New Roman" w:eastAsia="仿宋_GB2312" w:cs="Times New Roman"/>
          <w:kern w:val="0"/>
          <w:sz w:val="32"/>
          <w:szCs w:val="32"/>
          <w:shd w:val="clear" w:color="auto" w:fill="FFFFFF"/>
        </w:rPr>
        <w:t>一、成本效益分析法：从适用场景出发，计算成本效益。</w:t>
      </w:r>
    </w:p>
    <w:p w14:paraId="2F74CA5A">
      <w:pPr>
        <w:widowControl/>
        <w:adjustRightInd w:val="0"/>
        <w:snapToGrid w:val="0"/>
        <w:spacing w:line="578" w:lineRule="exact"/>
        <w:ind w:firstLine="640" w:firstLineChars="200"/>
        <w:contextualSpacing/>
        <w:jc w:val="left"/>
        <w:rPr>
          <w:rFonts w:hint="eastAsia" w:ascii="Times New Roman" w:hAnsi="Times New Roman" w:eastAsia="仿宋_GB2312" w:cs="Times New Roman"/>
          <w:kern w:val="0"/>
          <w:sz w:val="32"/>
          <w:szCs w:val="32"/>
          <w:shd w:val="clear" w:color="auto" w:fill="FFFFFF"/>
        </w:rPr>
      </w:pPr>
      <w:r>
        <w:rPr>
          <w:rFonts w:hint="eastAsia" w:ascii="Times New Roman" w:hAnsi="Times New Roman" w:eastAsia="仿宋_GB2312" w:cs="Times New Roman"/>
          <w:kern w:val="0"/>
          <w:sz w:val="32"/>
          <w:szCs w:val="32"/>
          <w:shd w:val="clear" w:color="auto" w:fill="FFFFFF"/>
        </w:rPr>
        <w:t>二、单位自评法：项目完成度、资金支付合理合规；</w:t>
      </w:r>
    </w:p>
    <w:p w14:paraId="62EC0B56">
      <w:pPr>
        <w:widowControl/>
        <w:adjustRightInd w:val="0"/>
        <w:snapToGrid w:val="0"/>
        <w:spacing w:line="578" w:lineRule="exact"/>
        <w:ind w:firstLine="640" w:firstLineChars="200"/>
        <w:contextualSpacing/>
        <w:jc w:val="left"/>
        <w:rPr>
          <w:rFonts w:hint="eastAsia" w:ascii="Times New Roman" w:hAnsi="Times New Roman" w:eastAsia="仿宋_GB2312" w:cs="Times New Roman"/>
          <w:kern w:val="0"/>
          <w:sz w:val="32"/>
          <w:szCs w:val="32"/>
          <w:shd w:val="clear" w:color="auto" w:fill="FFFFFF"/>
        </w:rPr>
      </w:pPr>
      <w:r>
        <w:rPr>
          <w:rFonts w:hint="eastAsia" w:ascii="Times New Roman" w:hAnsi="Times New Roman" w:eastAsia="仿宋_GB2312" w:cs="Times New Roman"/>
          <w:kern w:val="0"/>
          <w:sz w:val="32"/>
          <w:szCs w:val="32"/>
          <w:shd w:val="clear" w:color="auto" w:fill="FFFFFF"/>
        </w:rPr>
        <w:t>三、实地勘察法：按照资金使用途径进行。</w:t>
      </w:r>
    </w:p>
    <w:p w14:paraId="3C196572">
      <w:pPr>
        <w:widowControl/>
        <w:adjustRightInd w:val="0"/>
        <w:snapToGrid w:val="0"/>
        <w:spacing w:line="578" w:lineRule="exact"/>
        <w:ind w:firstLine="640" w:firstLineChars="200"/>
        <w:contextualSpacing/>
        <w:jc w:val="left"/>
        <w:rPr>
          <w:rFonts w:hint="eastAsia" w:ascii="Times New Roman" w:hAnsi="Times New Roman" w:eastAsia="仿宋_GB2312" w:cs="Times New Roman"/>
          <w:kern w:val="0"/>
          <w:sz w:val="32"/>
          <w:szCs w:val="32"/>
          <w:shd w:val="clear" w:color="auto" w:fill="FFFFFF"/>
        </w:rPr>
      </w:pPr>
      <w:r>
        <w:rPr>
          <w:rFonts w:hint="eastAsia" w:ascii="Times New Roman" w:hAnsi="Times New Roman" w:eastAsia="仿宋_GB2312" w:cs="Times New Roman"/>
          <w:kern w:val="0"/>
          <w:sz w:val="32"/>
          <w:szCs w:val="32"/>
          <w:shd w:val="clear" w:color="auto" w:fill="FFFFFF"/>
        </w:rPr>
        <w:t>四、座谈调研法：组织讨论，交流意见、怎样利用现有的平台、网格化建设和其他部门联动工作，节约人力、物力和时间。</w:t>
      </w:r>
    </w:p>
    <w:p w14:paraId="495565A0">
      <w:pPr>
        <w:widowControl/>
        <w:adjustRightInd w:val="0"/>
        <w:snapToGrid w:val="0"/>
        <w:spacing w:line="578" w:lineRule="exact"/>
        <w:ind w:firstLine="643" w:firstLineChars="200"/>
        <w:contextualSpacing/>
        <w:jc w:val="left"/>
        <w:rPr>
          <w:rFonts w:hint="eastAsia" w:ascii="Times New Roman" w:hAnsi="Times New Roman" w:eastAsia="仿宋_GB2312" w:cs="Times New Roman"/>
          <w:kern w:val="0"/>
          <w:sz w:val="32"/>
          <w:szCs w:val="32"/>
          <w:shd w:val="clear" w:color="auto" w:fill="FFFFFF"/>
        </w:rPr>
      </w:pPr>
      <w:r>
        <w:rPr>
          <w:rFonts w:ascii="Times New Roman" w:hAnsi="Times New Roman" w:eastAsia="楷体_GB2312"/>
          <w:b/>
          <w:sz w:val="32"/>
          <w:szCs w:val="32"/>
          <w:lang w:val="zh-CN"/>
        </w:rPr>
        <w:t>（五）评价组织。</w:t>
      </w:r>
      <w:r>
        <w:rPr>
          <w:rFonts w:hint="eastAsia" w:ascii="Times New Roman" w:hAnsi="Times New Roman" w:eastAsia="仿宋_GB2312" w:cs="Times New Roman"/>
          <w:kern w:val="0"/>
          <w:sz w:val="32"/>
          <w:szCs w:val="32"/>
          <w:shd w:val="clear" w:color="auto" w:fill="FFFFFF"/>
        </w:rPr>
        <w:t>评价组人员构成和职责分工。</w:t>
      </w:r>
    </w:p>
    <w:p w14:paraId="3D4D54A3">
      <w:pPr>
        <w:widowControl/>
        <w:adjustRightInd w:val="0"/>
        <w:snapToGrid w:val="0"/>
        <w:spacing w:line="578" w:lineRule="exact"/>
        <w:ind w:firstLine="640" w:firstLineChars="200"/>
        <w:contextualSpacing/>
        <w:jc w:val="left"/>
        <w:rPr>
          <w:rFonts w:hint="eastAsia" w:ascii="Times New Roman" w:hAnsi="Times New Roman" w:eastAsia="仿宋_GB2312" w:cs="Times New Roman"/>
          <w:kern w:val="0"/>
          <w:sz w:val="32"/>
          <w:szCs w:val="32"/>
          <w:shd w:val="clear" w:color="auto" w:fill="FFFFFF"/>
        </w:rPr>
      </w:pPr>
      <w:r>
        <w:rPr>
          <w:rFonts w:hint="eastAsia" w:ascii="Times New Roman" w:hAnsi="Times New Roman" w:eastAsia="仿宋_GB2312" w:cs="Times New Roman"/>
          <w:kern w:val="0"/>
          <w:sz w:val="32"/>
          <w:szCs w:val="32"/>
          <w:shd w:val="clear" w:color="auto" w:fill="FFFFFF"/>
        </w:rPr>
        <w:t>评价组人构成：组长：业务科室负责人；第三方工作人员（信息技术人员）；财务审计人员；业务科室经办人。</w:t>
      </w:r>
    </w:p>
    <w:p w14:paraId="78226016">
      <w:pPr>
        <w:widowControl/>
        <w:adjustRightInd w:val="0"/>
        <w:snapToGrid w:val="0"/>
        <w:spacing w:line="578" w:lineRule="exact"/>
        <w:ind w:firstLine="640" w:firstLineChars="200"/>
        <w:contextualSpacing/>
        <w:jc w:val="left"/>
        <w:rPr>
          <w:rFonts w:hint="eastAsia" w:ascii="Times New Roman" w:hAnsi="Times New Roman" w:eastAsia="仿宋_GB2312" w:cs="Times New Roman"/>
          <w:kern w:val="0"/>
          <w:sz w:val="32"/>
          <w:szCs w:val="32"/>
          <w:shd w:val="clear" w:color="auto" w:fill="FFFFFF"/>
        </w:rPr>
      </w:pPr>
      <w:r>
        <w:rPr>
          <w:rFonts w:hint="eastAsia" w:ascii="Times New Roman" w:hAnsi="Times New Roman" w:eastAsia="仿宋_GB2312" w:cs="Times New Roman"/>
          <w:kern w:val="0"/>
          <w:sz w:val="32"/>
          <w:szCs w:val="32"/>
          <w:shd w:val="clear" w:color="auto" w:fill="FFFFFF"/>
        </w:rPr>
        <w:t>职责分工：</w:t>
      </w:r>
    </w:p>
    <w:p w14:paraId="1C493031">
      <w:pPr>
        <w:widowControl/>
        <w:adjustRightInd w:val="0"/>
        <w:snapToGrid w:val="0"/>
        <w:spacing w:line="578" w:lineRule="exact"/>
        <w:ind w:firstLine="640" w:firstLineChars="200"/>
        <w:contextualSpacing/>
        <w:jc w:val="left"/>
        <w:rPr>
          <w:rFonts w:hint="eastAsia" w:ascii="Times New Roman" w:hAnsi="Times New Roman" w:eastAsia="仿宋_GB2312" w:cs="Times New Roman"/>
          <w:kern w:val="0"/>
          <w:sz w:val="32"/>
          <w:szCs w:val="32"/>
          <w:shd w:val="clear" w:color="auto" w:fill="FFFFFF"/>
        </w:rPr>
      </w:pPr>
      <w:r>
        <w:rPr>
          <w:rFonts w:hint="eastAsia" w:ascii="Times New Roman" w:hAnsi="Times New Roman" w:eastAsia="仿宋_GB2312" w:cs="Times New Roman"/>
          <w:kern w:val="0"/>
          <w:sz w:val="32"/>
          <w:szCs w:val="32"/>
          <w:shd w:val="clear" w:color="auto" w:fill="FFFFFF"/>
        </w:rPr>
        <w:t>1. 组长，统筹全局：制定评价方案，分配任务，协调争议；质量控制：审核评价报告，确保结论客观公正；</w:t>
      </w:r>
    </w:p>
    <w:p w14:paraId="669338FA">
      <w:pPr>
        <w:widowControl/>
        <w:adjustRightInd w:val="0"/>
        <w:snapToGrid w:val="0"/>
        <w:spacing w:line="578" w:lineRule="exact"/>
        <w:ind w:firstLine="640" w:firstLineChars="200"/>
        <w:contextualSpacing/>
        <w:jc w:val="left"/>
        <w:rPr>
          <w:rFonts w:hint="eastAsia" w:ascii="Times New Roman" w:hAnsi="Times New Roman" w:eastAsia="仿宋_GB2312" w:cs="Times New Roman"/>
          <w:kern w:val="0"/>
          <w:sz w:val="32"/>
          <w:szCs w:val="32"/>
          <w:shd w:val="clear" w:color="auto" w:fill="FFFFFF"/>
        </w:rPr>
      </w:pPr>
      <w:r>
        <w:rPr>
          <w:rFonts w:hint="eastAsia" w:ascii="Times New Roman" w:hAnsi="Times New Roman" w:eastAsia="仿宋_GB2312" w:cs="Times New Roman"/>
          <w:kern w:val="0"/>
          <w:sz w:val="32"/>
          <w:szCs w:val="32"/>
          <w:shd w:val="clear" w:color="auto" w:fill="FFFFFF"/>
        </w:rPr>
        <w:t xml:space="preserve">2. 信息技术人员。项目实施效果评估。  </w:t>
      </w:r>
    </w:p>
    <w:p w14:paraId="6EDDA193">
      <w:pPr>
        <w:widowControl/>
        <w:adjustRightInd w:val="0"/>
        <w:snapToGrid w:val="0"/>
        <w:spacing w:line="578" w:lineRule="exact"/>
        <w:ind w:firstLine="640" w:firstLineChars="200"/>
        <w:contextualSpacing/>
        <w:jc w:val="left"/>
        <w:rPr>
          <w:rFonts w:hint="eastAsia" w:ascii="Times New Roman" w:hAnsi="Times New Roman" w:eastAsia="仿宋_GB2312" w:cs="Times New Roman"/>
          <w:kern w:val="0"/>
          <w:sz w:val="32"/>
          <w:szCs w:val="32"/>
          <w:shd w:val="clear" w:color="auto" w:fill="FFFFFF"/>
        </w:rPr>
      </w:pPr>
      <w:r>
        <w:rPr>
          <w:rFonts w:hint="eastAsia" w:ascii="Times New Roman" w:hAnsi="Times New Roman" w:eastAsia="仿宋_GB2312" w:cs="Times New Roman"/>
          <w:kern w:val="0"/>
          <w:sz w:val="32"/>
          <w:szCs w:val="32"/>
          <w:shd w:val="clear" w:color="auto" w:fill="FFFFFF"/>
        </w:rPr>
        <w:t xml:space="preserve">3. 财务审计专家。资金合规性审查：检查预算执行、报销凭证、结余资金处理；效益分析：计算成本效益比，识别资金浪费风险。  </w:t>
      </w:r>
    </w:p>
    <w:p w14:paraId="751AB0A2">
      <w:pPr>
        <w:widowControl/>
        <w:adjustRightInd w:val="0"/>
        <w:snapToGrid w:val="0"/>
        <w:spacing w:line="578" w:lineRule="exact"/>
        <w:ind w:firstLine="640" w:firstLineChars="200"/>
        <w:contextualSpacing/>
        <w:jc w:val="left"/>
        <w:rPr>
          <w:rFonts w:hint="eastAsia" w:ascii="Times New Roman" w:hAnsi="Times New Roman" w:eastAsia="仿宋_GB2312" w:cs="Times New Roman"/>
          <w:kern w:val="0"/>
          <w:sz w:val="32"/>
          <w:szCs w:val="32"/>
          <w:shd w:val="clear" w:color="auto" w:fill="FFFFFF"/>
        </w:rPr>
      </w:pPr>
      <w:r>
        <w:rPr>
          <w:rFonts w:hint="eastAsia" w:ascii="Times New Roman" w:hAnsi="Times New Roman" w:eastAsia="仿宋_GB2312" w:cs="Times New Roman"/>
          <w:kern w:val="0"/>
          <w:sz w:val="32"/>
          <w:szCs w:val="32"/>
          <w:shd w:val="clear" w:color="auto" w:fill="FFFFFF"/>
        </w:rPr>
        <w:t xml:space="preserve">4.业务科室经办人：  </w:t>
      </w:r>
    </w:p>
    <w:p w14:paraId="63BDF2CC">
      <w:pPr>
        <w:widowControl/>
        <w:adjustRightInd w:val="0"/>
        <w:snapToGrid w:val="0"/>
        <w:spacing w:line="578" w:lineRule="exact"/>
        <w:ind w:firstLine="640" w:firstLineChars="200"/>
        <w:contextualSpacing/>
        <w:jc w:val="left"/>
        <w:rPr>
          <w:rFonts w:hint="eastAsia" w:ascii="Times New Roman" w:hAnsi="Times New Roman" w:eastAsia="仿宋_GB2312" w:cs="Times New Roman"/>
          <w:kern w:val="0"/>
          <w:sz w:val="32"/>
          <w:szCs w:val="32"/>
          <w:shd w:val="clear" w:color="auto" w:fill="FFFFFF"/>
        </w:rPr>
      </w:pPr>
      <w:r>
        <w:rPr>
          <w:rFonts w:hint="eastAsia" w:ascii="Times New Roman" w:hAnsi="Times New Roman" w:eastAsia="仿宋_GB2312" w:cs="Times New Roman"/>
          <w:kern w:val="0"/>
          <w:sz w:val="32"/>
          <w:szCs w:val="32"/>
          <w:shd w:val="clear" w:color="auto" w:fill="FFFFFF"/>
        </w:rPr>
        <w:t>实践效果验证：评估项目成果对相关工作是否具有参考价值，有指导性建议等。</w:t>
      </w:r>
    </w:p>
    <w:p w14:paraId="1E620B1E">
      <w:pPr>
        <w:adjustRightInd w:val="0"/>
        <w:snapToGrid w:val="0"/>
        <w:spacing w:line="578" w:lineRule="exact"/>
        <w:ind w:firstLine="640" w:firstLineChars="200"/>
        <w:rPr>
          <w:rFonts w:ascii="Times New Roman" w:hAnsi="Times New Roman" w:eastAsia="仿宋_GB2312"/>
          <w:sz w:val="32"/>
          <w:szCs w:val="32"/>
          <w:lang w:val="zh-CN"/>
        </w:rPr>
      </w:pPr>
      <w:r>
        <w:rPr>
          <w:rFonts w:ascii="Times New Roman" w:hAnsi="Times New Roman" w:eastAsia="黑体"/>
          <w:sz w:val="32"/>
          <w:szCs w:val="32"/>
        </w:rPr>
        <w:t>三、绩效分析</w:t>
      </w:r>
      <w:r>
        <w:rPr>
          <w:rFonts w:ascii="Times New Roman" w:hAnsi="Times New Roman" w:eastAsia="仿宋_GB2312"/>
          <w:sz w:val="32"/>
          <w:szCs w:val="32"/>
          <w:lang w:val="zh-CN"/>
        </w:rPr>
        <w:tab/>
      </w:r>
    </w:p>
    <w:p w14:paraId="29971322">
      <w:pPr>
        <w:widowControl/>
        <w:adjustRightInd w:val="0"/>
        <w:snapToGrid w:val="0"/>
        <w:spacing w:line="578" w:lineRule="exact"/>
        <w:ind w:firstLine="640" w:firstLineChars="200"/>
        <w:contextualSpacing/>
        <w:jc w:val="left"/>
        <w:rPr>
          <w:rFonts w:hint="eastAsia" w:ascii="Times New Roman" w:hAnsi="Times New Roman" w:eastAsia="仿宋_GB2312" w:cs="Times New Roman"/>
          <w:kern w:val="0"/>
          <w:sz w:val="32"/>
          <w:szCs w:val="32"/>
          <w:shd w:val="clear" w:color="auto" w:fill="FFFFFF"/>
        </w:rPr>
      </w:pPr>
      <w:r>
        <w:rPr>
          <w:rFonts w:hint="eastAsia" w:ascii="Times New Roman" w:hAnsi="Times New Roman" w:eastAsia="仿宋_GB2312" w:cs="Times New Roman"/>
          <w:kern w:val="0"/>
          <w:sz w:val="32"/>
          <w:szCs w:val="32"/>
          <w:shd w:val="clear" w:color="auto" w:fill="FFFFFF"/>
        </w:rPr>
        <w:t>产出指标、数量指标：</w:t>
      </w:r>
    </w:p>
    <w:p w14:paraId="6187DF9E">
      <w:pPr>
        <w:widowControl/>
        <w:adjustRightInd w:val="0"/>
        <w:snapToGrid w:val="0"/>
        <w:spacing w:line="578" w:lineRule="exact"/>
        <w:ind w:firstLine="640" w:firstLineChars="200"/>
        <w:contextualSpacing/>
        <w:jc w:val="left"/>
        <w:rPr>
          <w:rFonts w:hint="eastAsia" w:ascii="Times New Roman" w:hAnsi="Times New Roman" w:eastAsia="仿宋_GB2312" w:cs="Times New Roman"/>
          <w:kern w:val="0"/>
          <w:sz w:val="32"/>
          <w:szCs w:val="32"/>
          <w:shd w:val="clear" w:color="auto" w:fill="FFFFFF"/>
        </w:rPr>
      </w:pPr>
      <w:r>
        <w:rPr>
          <w:rFonts w:hint="eastAsia" w:ascii="Times New Roman" w:hAnsi="Times New Roman" w:eastAsia="仿宋_GB2312" w:cs="Times New Roman"/>
          <w:kern w:val="0"/>
          <w:sz w:val="32"/>
          <w:szCs w:val="32"/>
          <w:shd w:val="clear" w:color="auto" w:fill="FFFFFF"/>
        </w:rPr>
        <w:t>表彰见义勇为先进个人4人，创建平安社区1500个，链路视频图像资源运维护15条，政法宣传工作合作单位2个。综治中心全年运行费用、视频图像资源运维完成率100%。2024年所有绩效目标均已圆满完成，</w:t>
      </w:r>
    </w:p>
    <w:p w14:paraId="6F7792E5">
      <w:pPr>
        <w:spacing w:line="578" w:lineRule="exact"/>
        <w:ind w:firstLine="640"/>
        <w:rPr>
          <w:rFonts w:ascii="Times New Roman" w:hAnsi="Times New Roman" w:eastAsia="楷体_GB2312"/>
          <w:b/>
          <w:sz w:val="32"/>
          <w:szCs w:val="32"/>
        </w:rPr>
      </w:pPr>
      <w:r>
        <w:rPr>
          <w:rFonts w:ascii="Times New Roman" w:hAnsi="Times New Roman" w:eastAsia="楷体_GB2312"/>
          <w:b/>
          <w:sz w:val="32"/>
          <w:szCs w:val="32"/>
          <w:lang w:val="zh-CN"/>
        </w:rPr>
        <w:t>（一）</w:t>
      </w:r>
      <w:r>
        <w:rPr>
          <w:rFonts w:ascii="Times New Roman" w:hAnsi="Times New Roman" w:eastAsia="楷体_GB2312"/>
          <w:b/>
          <w:sz w:val="32"/>
          <w:szCs w:val="32"/>
        </w:rPr>
        <w:t>通用指标</w:t>
      </w:r>
      <w:r>
        <w:rPr>
          <w:rFonts w:ascii="Times New Roman" w:hAnsi="Times New Roman" w:eastAsia="楷体_GB2312"/>
          <w:b/>
          <w:bCs/>
          <w:color w:val="000000"/>
          <w:kern w:val="0"/>
          <w:sz w:val="32"/>
          <w:szCs w:val="32"/>
          <w:shd w:val="clear" w:color="auto" w:fill="FFFFFF"/>
          <w:lang w:val="zh-CN"/>
        </w:rPr>
        <w:t>绩效分析。</w:t>
      </w:r>
    </w:p>
    <w:p w14:paraId="41C5B822">
      <w:pPr>
        <w:spacing w:line="578" w:lineRule="exact"/>
        <w:ind w:firstLine="640"/>
        <w:rPr>
          <w:rFonts w:ascii="Times New Roman" w:hAnsi="Times New Roman" w:eastAsia="楷体_GB2312"/>
          <w:sz w:val="32"/>
          <w:szCs w:val="32"/>
        </w:rPr>
      </w:pPr>
      <w:r>
        <w:rPr>
          <w:rFonts w:ascii="Times New Roman" w:hAnsi="Times New Roman" w:eastAsia="楷体_GB2312"/>
          <w:sz w:val="32"/>
          <w:szCs w:val="32"/>
        </w:rPr>
        <w:t>1.项目决策。</w:t>
      </w:r>
    </w:p>
    <w:p w14:paraId="2ADE806C">
      <w:pPr>
        <w:widowControl/>
        <w:adjustRightInd w:val="0"/>
        <w:snapToGrid w:val="0"/>
        <w:spacing w:line="578" w:lineRule="exact"/>
        <w:ind w:firstLine="640" w:firstLineChars="200"/>
        <w:contextualSpacing/>
        <w:jc w:val="left"/>
        <w:rPr>
          <w:rFonts w:hint="eastAsia" w:ascii="Times New Roman" w:hAnsi="Times New Roman" w:eastAsia="仿宋_GB2312" w:cs="Times New Roman"/>
          <w:kern w:val="0"/>
          <w:sz w:val="32"/>
          <w:szCs w:val="32"/>
          <w:shd w:val="clear" w:color="auto" w:fill="FFFFFF"/>
        </w:rPr>
      </w:pPr>
      <w:r>
        <w:rPr>
          <w:rFonts w:hint="eastAsia" w:ascii="Times New Roman" w:hAnsi="Times New Roman" w:eastAsia="仿宋_GB2312" w:cs="Times New Roman"/>
          <w:kern w:val="0"/>
          <w:sz w:val="32"/>
          <w:szCs w:val="32"/>
          <w:shd w:val="clear" w:color="auto" w:fill="FFFFFF"/>
        </w:rPr>
        <w:t>决策程序：由业务科室提出需求和立项申请。再进行专家评审和风险评估后进行决策审批。最后立项文件归档，明确项目责任人，进行备案与监督。</w:t>
      </w:r>
    </w:p>
    <w:p w14:paraId="41193771">
      <w:pPr>
        <w:widowControl/>
        <w:adjustRightInd w:val="0"/>
        <w:snapToGrid w:val="0"/>
        <w:spacing w:line="578" w:lineRule="exact"/>
        <w:ind w:firstLine="640" w:firstLineChars="200"/>
        <w:contextualSpacing/>
        <w:jc w:val="left"/>
        <w:rPr>
          <w:rFonts w:hint="eastAsia" w:ascii="Times New Roman" w:hAnsi="Times New Roman" w:eastAsia="仿宋_GB2312" w:cs="Times New Roman"/>
          <w:kern w:val="0"/>
          <w:sz w:val="32"/>
          <w:szCs w:val="32"/>
          <w:shd w:val="clear" w:color="auto" w:fill="FFFFFF"/>
        </w:rPr>
      </w:pPr>
      <w:r>
        <w:rPr>
          <w:rFonts w:hint="eastAsia" w:ascii="Times New Roman" w:hAnsi="Times New Roman" w:eastAsia="仿宋_GB2312" w:cs="Times New Roman"/>
          <w:kern w:val="0"/>
          <w:sz w:val="32"/>
          <w:szCs w:val="32"/>
          <w:shd w:val="clear" w:color="auto" w:fill="FFFFFF"/>
        </w:rPr>
        <w:t>规划论证：课题项目契合项目的长期目标，有效利用了我委内外部资源，无重复投入经费的发生，优先支持，见义勇为经费和平安创建相关工作运行经费。</w:t>
      </w:r>
    </w:p>
    <w:p w14:paraId="35039212">
      <w:pPr>
        <w:widowControl/>
        <w:adjustRightInd w:val="0"/>
        <w:snapToGrid w:val="0"/>
        <w:spacing w:line="578" w:lineRule="exact"/>
        <w:ind w:firstLine="640" w:firstLineChars="200"/>
        <w:contextualSpacing/>
        <w:jc w:val="left"/>
        <w:rPr>
          <w:rFonts w:hint="eastAsia" w:ascii="Times New Roman" w:hAnsi="Times New Roman" w:eastAsia="仿宋_GB2312" w:cs="Times New Roman"/>
          <w:kern w:val="0"/>
          <w:sz w:val="32"/>
          <w:szCs w:val="32"/>
          <w:shd w:val="clear" w:color="auto" w:fill="FFFFFF"/>
        </w:rPr>
      </w:pPr>
      <w:r>
        <w:rPr>
          <w:rFonts w:hint="eastAsia" w:ascii="Times New Roman" w:hAnsi="Times New Roman" w:eastAsia="仿宋_GB2312" w:cs="Times New Roman"/>
          <w:kern w:val="0"/>
          <w:sz w:val="32"/>
          <w:szCs w:val="32"/>
          <w:shd w:val="clear" w:color="auto" w:fill="FFFFFF"/>
        </w:rPr>
        <w:t>资金投向：资金使用重视成本节约、预算执行率100%、项目按期完成、项目成效、社会影响力，可持续发展性等均为95%以上。资金投向的精准性、效益性和合规性也是项目资金管理的重要环节。该项目资金用途符合预算，专款专用。采购与支付流程符合财务相关规定。</w:t>
      </w:r>
    </w:p>
    <w:p w14:paraId="475A4409">
      <w:pPr>
        <w:widowControl/>
        <w:adjustRightInd w:val="0"/>
        <w:snapToGrid w:val="0"/>
        <w:spacing w:line="578" w:lineRule="exact"/>
        <w:ind w:firstLine="640" w:firstLineChars="200"/>
        <w:contextualSpacing/>
        <w:jc w:val="left"/>
        <w:rPr>
          <w:rFonts w:hint="eastAsia" w:ascii="Times New Roman" w:hAnsi="Times New Roman" w:eastAsia="仿宋_GB2312" w:cs="Times New Roman"/>
          <w:kern w:val="0"/>
          <w:sz w:val="32"/>
          <w:szCs w:val="32"/>
          <w:shd w:val="clear" w:color="auto" w:fill="FFFFFF"/>
        </w:rPr>
      </w:pPr>
      <w:r>
        <w:rPr>
          <w:rFonts w:ascii="Times New Roman" w:hAnsi="Times New Roman" w:eastAsia="楷体_GB2312"/>
          <w:sz w:val="32"/>
          <w:szCs w:val="32"/>
        </w:rPr>
        <w:t>2.项目管理。</w:t>
      </w:r>
      <w:r>
        <w:rPr>
          <w:rFonts w:hint="eastAsia" w:ascii="Times New Roman" w:hAnsi="Times New Roman" w:eastAsia="仿宋_GB2312" w:cs="Times New Roman"/>
          <w:kern w:val="0"/>
          <w:sz w:val="32"/>
          <w:szCs w:val="32"/>
          <w:shd w:val="clear" w:color="auto" w:fill="FFFFFF"/>
        </w:rPr>
        <w:t>围绕制度办法、分配管理、绩效监管进行绩效分析。</w:t>
      </w:r>
    </w:p>
    <w:p w14:paraId="702ED6D5">
      <w:pPr>
        <w:widowControl/>
        <w:adjustRightInd w:val="0"/>
        <w:snapToGrid w:val="0"/>
        <w:spacing w:line="578" w:lineRule="exact"/>
        <w:ind w:firstLine="640" w:firstLineChars="200"/>
        <w:contextualSpacing/>
        <w:jc w:val="left"/>
        <w:rPr>
          <w:rFonts w:hint="eastAsia" w:ascii="Times New Roman" w:hAnsi="Times New Roman" w:eastAsia="仿宋_GB2312" w:cs="Times New Roman"/>
          <w:kern w:val="0"/>
          <w:sz w:val="32"/>
          <w:szCs w:val="32"/>
          <w:shd w:val="clear" w:color="auto" w:fill="FFFFFF"/>
        </w:rPr>
      </w:pPr>
      <w:r>
        <w:rPr>
          <w:rFonts w:hint="eastAsia" w:ascii="Times New Roman" w:hAnsi="Times New Roman" w:eastAsia="仿宋_GB2312" w:cs="Times New Roman"/>
          <w:kern w:val="0"/>
          <w:sz w:val="32"/>
          <w:szCs w:val="32"/>
          <w:shd w:val="clear" w:color="auto" w:fill="FFFFFF"/>
        </w:rPr>
        <w:t>该项目的运行流程按照相关规定和内部制度进行，覆盖项目全流程（立项、实施、验收）和关键环节（财务支付、风险、质量）。均无违规操作。</w:t>
      </w:r>
    </w:p>
    <w:p w14:paraId="2413630C">
      <w:pPr>
        <w:widowControl/>
        <w:adjustRightInd w:val="0"/>
        <w:snapToGrid w:val="0"/>
        <w:spacing w:line="578" w:lineRule="exact"/>
        <w:ind w:firstLine="640" w:firstLineChars="200"/>
        <w:contextualSpacing/>
        <w:jc w:val="left"/>
        <w:rPr>
          <w:rFonts w:hint="eastAsia" w:ascii="Times New Roman" w:hAnsi="Times New Roman" w:eastAsia="仿宋_GB2312" w:cs="Times New Roman"/>
          <w:kern w:val="0"/>
          <w:sz w:val="32"/>
          <w:szCs w:val="32"/>
          <w:shd w:val="clear" w:color="auto" w:fill="FFFFFF"/>
        </w:rPr>
      </w:pPr>
      <w:r>
        <w:rPr>
          <w:rFonts w:hint="eastAsia" w:ascii="Times New Roman" w:hAnsi="Times New Roman" w:eastAsia="仿宋_GB2312" w:cs="Times New Roman"/>
          <w:kern w:val="0"/>
          <w:sz w:val="32"/>
          <w:szCs w:val="32"/>
          <w:shd w:val="clear" w:color="auto" w:fill="FFFFFF"/>
        </w:rPr>
        <w:t>分配管理：该项目资源分配公开透明的规则，如公开招标、公开选择第三方机构或者从专家库抽取专家等。</w:t>
      </w:r>
    </w:p>
    <w:p w14:paraId="6B7E7266">
      <w:pPr>
        <w:widowControl/>
        <w:adjustRightInd w:val="0"/>
        <w:snapToGrid w:val="0"/>
        <w:spacing w:line="578" w:lineRule="exact"/>
        <w:ind w:firstLine="640" w:firstLineChars="200"/>
        <w:contextualSpacing/>
        <w:jc w:val="left"/>
        <w:rPr>
          <w:rFonts w:hint="eastAsia" w:ascii="Times New Roman" w:hAnsi="Times New Roman" w:eastAsia="仿宋_GB2312" w:cs="Times New Roman"/>
          <w:kern w:val="0"/>
          <w:sz w:val="32"/>
          <w:szCs w:val="32"/>
          <w:shd w:val="clear" w:color="auto" w:fill="FFFFFF"/>
        </w:rPr>
      </w:pPr>
      <w:r>
        <w:rPr>
          <w:rFonts w:hint="eastAsia" w:ascii="Times New Roman" w:hAnsi="Times New Roman" w:eastAsia="仿宋_GB2312" w:cs="Times New Roman"/>
          <w:kern w:val="0"/>
          <w:sz w:val="32"/>
          <w:szCs w:val="32"/>
          <w:shd w:val="clear" w:color="auto" w:fill="FFFFFF"/>
        </w:rPr>
        <w:t>绩效监管：该项目按照事前评估、事中监控、事后分析评价，进行动态跟踪，发现不规理立即进行项目调整。</w:t>
      </w:r>
    </w:p>
    <w:p w14:paraId="2FC246D6">
      <w:pPr>
        <w:widowControl/>
        <w:adjustRightInd w:val="0"/>
        <w:snapToGrid w:val="0"/>
        <w:spacing w:line="578" w:lineRule="exact"/>
        <w:ind w:firstLine="640" w:firstLineChars="200"/>
        <w:contextualSpacing/>
        <w:jc w:val="left"/>
        <w:rPr>
          <w:rFonts w:hint="eastAsia" w:ascii="Times New Roman" w:hAnsi="Times New Roman" w:eastAsia="仿宋_GB2312" w:cs="Times New Roman"/>
          <w:kern w:val="0"/>
          <w:sz w:val="32"/>
          <w:szCs w:val="32"/>
          <w:shd w:val="clear" w:color="auto" w:fill="FFFFFF"/>
        </w:rPr>
      </w:pPr>
      <w:r>
        <w:rPr>
          <w:rFonts w:ascii="Times New Roman" w:hAnsi="Times New Roman" w:eastAsia="楷体_GB2312"/>
          <w:sz w:val="32"/>
          <w:szCs w:val="32"/>
        </w:rPr>
        <w:t>3.项目实施。</w:t>
      </w:r>
      <w:r>
        <w:rPr>
          <w:rFonts w:hint="eastAsia" w:ascii="Times New Roman" w:hAnsi="Times New Roman" w:eastAsia="仿宋_GB2312" w:cs="Times New Roman"/>
          <w:kern w:val="0"/>
          <w:sz w:val="32"/>
          <w:szCs w:val="32"/>
          <w:shd w:val="clear" w:color="auto" w:fill="FFFFFF"/>
        </w:rPr>
        <w:t>围绕预算</w:t>
      </w:r>
      <w:r>
        <w:rPr>
          <w:rFonts w:hint="eastAsia" w:ascii="Times New Roman" w:hAnsi="Times New Roman" w:eastAsia="仿宋_GB2312" w:cs="Times New Roman"/>
          <w:kern w:val="0"/>
          <w:sz w:val="32"/>
          <w:szCs w:val="32"/>
          <w:shd w:val="clear" w:color="auto" w:fill="FFFFFF"/>
          <w:lang w:val="zh-CN"/>
        </w:rPr>
        <w:t>执行</w:t>
      </w:r>
      <w:r>
        <w:rPr>
          <w:rFonts w:hint="eastAsia" w:ascii="Times New Roman" w:hAnsi="Times New Roman" w:eastAsia="仿宋_GB2312" w:cs="Times New Roman"/>
          <w:kern w:val="0"/>
          <w:sz w:val="32"/>
          <w:szCs w:val="32"/>
          <w:shd w:val="clear" w:color="auto" w:fill="FFFFFF"/>
        </w:rPr>
        <w:t>、资金使用进行绩效分析。</w:t>
      </w:r>
    </w:p>
    <w:p w14:paraId="482C7DFD">
      <w:pPr>
        <w:widowControl/>
        <w:adjustRightInd w:val="0"/>
        <w:snapToGrid w:val="0"/>
        <w:spacing w:line="578" w:lineRule="exact"/>
        <w:ind w:firstLine="640" w:firstLineChars="200"/>
        <w:contextualSpacing/>
        <w:jc w:val="left"/>
        <w:rPr>
          <w:rFonts w:hint="eastAsia" w:ascii="Times New Roman" w:hAnsi="Times New Roman" w:eastAsia="仿宋_GB2312" w:cs="Times New Roman"/>
          <w:kern w:val="0"/>
          <w:sz w:val="32"/>
          <w:szCs w:val="32"/>
          <w:shd w:val="clear" w:color="auto" w:fill="FFFFFF"/>
        </w:rPr>
      </w:pPr>
      <w:r>
        <w:rPr>
          <w:rFonts w:hint="eastAsia" w:ascii="Times New Roman" w:hAnsi="Times New Roman" w:eastAsia="仿宋_GB2312" w:cs="Times New Roman"/>
          <w:kern w:val="0"/>
          <w:sz w:val="32"/>
          <w:szCs w:val="32"/>
          <w:shd w:val="clear" w:color="auto" w:fill="FFFFFF"/>
        </w:rPr>
        <w:t>预算执行：该项目预算编制按照历史数据参考和市场实</w:t>
      </w:r>
    </w:p>
    <w:p w14:paraId="1602D14A">
      <w:pPr>
        <w:widowControl/>
        <w:adjustRightInd w:val="0"/>
        <w:snapToGrid w:val="0"/>
        <w:spacing w:line="578" w:lineRule="exact"/>
        <w:ind w:firstLine="640" w:firstLineChars="200"/>
        <w:contextualSpacing/>
        <w:jc w:val="left"/>
        <w:rPr>
          <w:rFonts w:hint="eastAsia" w:ascii="Times New Roman" w:hAnsi="Times New Roman" w:eastAsia="仿宋_GB2312" w:cs="Times New Roman"/>
          <w:kern w:val="0"/>
          <w:sz w:val="32"/>
          <w:szCs w:val="32"/>
          <w:shd w:val="clear" w:color="auto" w:fill="FFFFFF"/>
        </w:rPr>
      </w:pPr>
      <w:r>
        <w:rPr>
          <w:rFonts w:hint="eastAsia" w:ascii="Times New Roman" w:hAnsi="Times New Roman" w:eastAsia="仿宋_GB2312" w:cs="Times New Roman"/>
          <w:kern w:val="0"/>
          <w:sz w:val="32"/>
          <w:szCs w:val="32"/>
          <w:shd w:val="clear" w:color="auto" w:fill="FFFFFF"/>
        </w:rPr>
        <w:t>际考察进行核算，预算编制合理、完整。</w:t>
      </w:r>
    </w:p>
    <w:p w14:paraId="5795E901">
      <w:pPr>
        <w:widowControl/>
        <w:adjustRightInd w:val="0"/>
        <w:snapToGrid w:val="0"/>
        <w:spacing w:line="578" w:lineRule="exact"/>
        <w:ind w:firstLine="640" w:firstLineChars="200"/>
        <w:contextualSpacing/>
        <w:jc w:val="left"/>
        <w:rPr>
          <w:rFonts w:hint="eastAsia" w:ascii="Times New Roman" w:hAnsi="Times New Roman" w:eastAsia="仿宋_GB2312" w:cs="Times New Roman"/>
          <w:kern w:val="0"/>
          <w:sz w:val="32"/>
          <w:szCs w:val="32"/>
          <w:shd w:val="clear" w:color="auto" w:fill="FFFFFF"/>
        </w:rPr>
      </w:pPr>
      <w:r>
        <w:rPr>
          <w:rFonts w:hint="eastAsia" w:ascii="Times New Roman" w:hAnsi="Times New Roman" w:eastAsia="仿宋_GB2312" w:cs="Times New Roman"/>
          <w:kern w:val="0"/>
          <w:sz w:val="32"/>
          <w:szCs w:val="32"/>
          <w:shd w:val="clear" w:color="auto" w:fill="FFFFFF"/>
        </w:rPr>
        <w:t>资金使用：资金使用投向精准，支付规范，符合审计要求。</w:t>
      </w:r>
    </w:p>
    <w:p w14:paraId="69C8D407">
      <w:pPr>
        <w:widowControl/>
        <w:adjustRightInd w:val="0"/>
        <w:snapToGrid w:val="0"/>
        <w:spacing w:line="578" w:lineRule="exact"/>
        <w:ind w:firstLine="640" w:firstLineChars="200"/>
        <w:contextualSpacing/>
        <w:jc w:val="left"/>
        <w:rPr>
          <w:rFonts w:hint="eastAsia" w:ascii="Times New Roman" w:hAnsi="Times New Roman" w:eastAsia="仿宋_GB2312" w:cs="Times New Roman"/>
          <w:kern w:val="0"/>
          <w:sz w:val="32"/>
          <w:szCs w:val="32"/>
          <w:shd w:val="clear" w:color="auto" w:fill="FFFFFF"/>
        </w:rPr>
      </w:pPr>
      <w:r>
        <w:rPr>
          <w:rFonts w:ascii="Times New Roman" w:hAnsi="Times New Roman" w:eastAsia="楷体_GB2312"/>
          <w:sz w:val="32"/>
          <w:szCs w:val="32"/>
        </w:rPr>
        <w:t>4.项目结果。</w:t>
      </w:r>
      <w:r>
        <w:rPr>
          <w:rFonts w:hint="eastAsia" w:ascii="Times New Roman" w:hAnsi="Times New Roman" w:eastAsia="仿宋_GB2312" w:cs="Times New Roman"/>
          <w:kern w:val="0"/>
          <w:sz w:val="32"/>
          <w:szCs w:val="32"/>
          <w:shd w:val="clear" w:color="auto" w:fill="FFFFFF"/>
        </w:rPr>
        <w:t>围绕目标完成、完成时效进行绩效分析。</w:t>
      </w:r>
    </w:p>
    <w:p w14:paraId="0B980D87">
      <w:pPr>
        <w:widowControl/>
        <w:adjustRightInd w:val="0"/>
        <w:snapToGrid w:val="0"/>
        <w:spacing w:line="578" w:lineRule="exact"/>
        <w:ind w:firstLine="640" w:firstLineChars="200"/>
        <w:contextualSpacing/>
        <w:jc w:val="left"/>
        <w:rPr>
          <w:rFonts w:hint="eastAsia" w:ascii="Times New Roman" w:hAnsi="Times New Roman" w:eastAsia="仿宋_GB2312" w:cs="Times New Roman"/>
          <w:kern w:val="0"/>
          <w:sz w:val="32"/>
          <w:szCs w:val="32"/>
          <w:shd w:val="clear" w:color="auto" w:fill="FFFFFF"/>
        </w:rPr>
      </w:pPr>
      <w:r>
        <w:rPr>
          <w:rFonts w:hint="eastAsia" w:ascii="Times New Roman" w:hAnsi="Times New Roman" w:eastAsia="仿宋_GB2312" w:cs="Times New Roman"/>
          <w:kern w:val="0"/>
          <w:sz w:val="32"/>
          <w:szCs w:val="32"/>
          <w:shd w:val="clear" w:color="auto" w:fill="FFFFFF"/>
        </w:rPr>
        <w:t>目标完成：该项目目标完成率为100%，符合项目执行进度，完成质量达标。</w:t>
      </w:r>
    </w:p>
    <w:p w14:paraId="793B75AC">
      <w:pPr>
        <w:widowControl/>
        <w:adjustRightInd w:val="0"/>
        <w:snapToGrid w:val="0"/>
        <w:spacing w:line="578" w:lineRule="exact"/>
        <w:ind w:firstLine="640" w:firstLineChars="200"/>
        <w:contextualSpacing/>
        <w:jc w:val="left"/>
        <w:rPr>
          <w:rFonts w:hint="eastAsia" w:ascii="Times New Roman" w:hAnsi="Times New Roman" w:eastAsia="仿宋_GB2312" w:cs="Times New Roman"/>
          <w:kern w:val="0"/>
          <w:sz w:val="32"/>
          <w:szCs w:val="32"/>
          <w:shd w:val="clear" w:color="auto" w:fill="FFFFFF"/>
        </w:rPr>
      </w:pPr>
      <w:r>
        <w:rPr>
          <w:rFonts w:hint="eastAsia" w:ascii="Times New Roman" w:hAnsi="Times New Roman" w:eastAsia="仿宋_GB2312" w:cs="Times New Roman"/>
          <w:kern w:val="0"/>
          <w:sz w:val="32"/>
          <w:szCs w:val="32"/>
          <w:shd w:val="clear" w:color="auto" w:fill="FFFFFF"/>
        </w:rPr>
        <w:t>完成时效：该项目在规定时间内完成。</w:t>
      </w:r>
    </w:p>
    <w:p w14:paraId="644AB0B7">
      <w:pPr>
        <w:widowControl/>
        <w:numPr>
          <w:ilvl w:val="0"/>
          <w:numId w:val="4"/>
        </w:numPr>
        <w:adjustRightInd w:val="0"/>
        <w:snapToGrid w:val="0"/>
        <w:spacing w:line="578" w:lineRule="exact"/>
        <w:ind w:firstLine="643" w:firstLineChars="200"/>
        <w:contextualSpacing/>
        <w:jc w:val="left"/>
        <w:rPr>
          <w:rFonts w:ascii="Times New Roman" w:hAnsi="Times New Roman" w:eastAsia="楷体_GB2312"/>
          <w:b/>
          <w:bCs/>
          <w:color w:val="000000"/>
          <w:kern w:val="0"/>
          <w:sz w:val="32"/>
          <w:szCs w:val="32"/>
          <w:shd w:val="clear" w:color="auto" w:fill="FFFFFF"/>
          <w:lang w:val="zh-CN"/>
        </w:rPr>
      </w:pPr>
      <w:r>
        <w:rPr>
          <w:rFonts w:ascii="Times New Roman" w:hAnsi="Times New Roman" w:eastAsia="楷体_GB2312"/>
          <w:b/>
          <w:sz w:val="32"/>
          <w:szCs w:val="32"/>
        </w:rPr>
        <w:t>专用指标</w:t>
      </w:r>
      <w:r>
        <w:rPr>
          <w:rFonts w:ascii="Times New Roman" w:hAnsi="Times New Roman" w:eastAsia="楷体_GB2312"/>
          <w:b/>
          <w:bCs/>
          <w:color w:val="000000"/>
          <w:kern w:val="0"/>
          <w:sz w:val="32"/>
          <w:szCs w:val="32"/>
          <w:shd w:val="clear" w:color="auto" w:fill="FFFFFF"/>
          <w:lang w:val="zh-CN"/>
        </w:rPr>
        <w:t>绩效分析。</w:t>
      </w:r>
    </w:p>
    <w:p w14:paraId="5686FDBF">
      <w:pPr>
        <w:spacing w:line="578" w:lineRule="exact"/>
        <w:ind w:firstLine="640" w:firstLineChars="200"/>
        <w:rPr>
          <w:rFonts w:hint="eastAsia" w:ascii="Times New Roman" w:hAnsi="Times New Roman" w:eastAsia="楷体_GB2312" w:cs="Times New Roman"/>
          <w:sz w:val="32"/>
          <w:szCs w:val="32"/>
        </w:rPr>
      </w:pPr>
      <w:r>
        <w:rPr>
          <w:rFonts w:hint="eastAsia" w:ascii="Times New Roman" w:hAnsi="Times New Roman" w:eastAsia="楷体_GB2312" w:cs="Times New Roman"/>
          <w:sz w:val="32"/>
          <w:szCs w:val="32"/>
          <w:lang w:val="en-US" w:eastAsia="zh-CN"/>
        </w:rPr>
        <w:t>1.</w:t>
      </w:r>
      <w:r>
        <w:rPr>
          <w:rFonts w:hint="eastAsia" w:ascii="Times New Roman" w:hAnsi="Times New Roman" w:eastAsia="楷体_GB2312" w:cs="Times New Roman"/>
          <w:sz w:val="32"/>
          <w:szCs w:val="32"/>
        </w:rPr>
        <w:t>行绩效分析。</w:t>
      </w:r>
    </w:p>
    <w:p w14:paraId="4DB8DF6C">
      <w:pPr>
        <w:widowControl/>
        <w:adjustRightInd w:val="0"/>
        <w:snapToGrid w:val="0"/>
        <w:spacing w:line="578" w:lineRule="exact"/>
        <w:ind w:firstLine="640" w:firstLineChars="200"/>
        <w:contextualSpacing/>
        <w:jc w:val="left"/>
        <w:rPr>
          <w:rFonts w:hint="eastAsia" w:ascii="Times New Roman" w:hAnsi="Times New Roman" w:eastAsia="仿宋_GB2312" w:cs="Times New Roman"/>
          <w:kern w:val="0"/>
          <w:sz w:val="32"/>
          <w:szCs w:val="32"/>
          <w:shd w:val="clear" w:color="auto" w:fill="FFFFFF"/>
        </w:rPr>
      </w:pPr>
      <w:r>
        <w:rPr>
          <w:rFonts w:hint="eastAsia" w:ascii="Times New Roman" w:hAnsi="Times New Roman" w:eastAsia="仿宋_GB2312" w:cs="Times New Roman"/>
          <w:kern w:val="0"/>
          <w:sz w:val="32"/>
          <w:szCs w:val="32"/>
          <w:shd w:val="clear" w:color="auto" w:fill="FFFFFF"/>
        </w:rPr>
        <w:t>该项目完全符合《泸州市安全产业发展规划（2021-2025）》要求，为企业解决安全痛点。</w:t>
      </w:r>
    </w:p>
    <w:p w14:paraId="16A23528">
      <w:pPr>
        <w:widowControl/>
        <w:numPr>
          <w:ilvl w:val="0"/>
          <w:numId w:val="0"/>
        </w:numPr>
        <w:adjustRightInd w:val="0"/>
        <w:snapToGrid w:val="0"/>
        <w:spacing w:line="578" w:lineRule="exact"/>
        <w:ind w:firstLine="640" w:firstLineChars="200"/>
        <w:contextualSpacing/>
        <w:jc w:val="left"/>
        <w:rPr>
          <w:rFonts w:hint="eastAsia" w:ascii="Times New Roman" w:hAnsi="Times New Roman" w:eastAsia="楷体_GB2312" w:cs="Times New Roman"/>
          <w:sz w:val="32"/>
          <w:szCs w:val="32"/>
          <w:lang w:eastAsia="zh-CN"/>
        </w:rPr>
      </w:pPr>
      <w:r>
        <w:rPr>
          <w:rFonts w:hint="eastAsia" w:ascii="Times New Roman" w:hAnsi="Times New Roman" w:eastAsia="楷体_GB2312" w:cs="Times New Roman"/>
          <w:sz w:val="32"/>
          <w:szCs w:val="32"/>
          <w:lang w:val="en-US" w:eastAsia="zh-CN"/>
        </w:rPr>
        <w:t>2.</w:t>
      </w:r>
      <w:r>
        <w:rPr>
          <w:rFonts w:hint="eastAsia" w:ascii="Times New Roman" w:hAnsi="Times New Roman" w:eastAsia="楷体_GB2312" w:cs="Times New Roman"/>
          <w:sz w:val="32"/>
          <w:szCs w:val="32"/>
          <w:lang w:val="zh-CN"/>
        </w:rPr>
        <w:t>民生保障</w:t>
      </w:r>
      <w:r>
        <w:rPr>
          <w:rFonts w:hint="eastAsia" w:ascii="Times New Roman" w:hAnsi="Times New Roman" w:eastAsia="楷体_GB2312" w:cs="Times New Roman"/>
          <w:sz w:val="32"/>
          <w:szCs w:val="32"/>
        </w:rPr>
        <w:t>类</w:t>
      </w:r>
      <w:r>
        <w:rPr>
          <w:rFonts w:hint="eastAsia" w:ascii="Times New Roman" w:hAnsi="Times New Roman" w:eastAsia="楷体_GB2312" w:cs="Times New Roman"/>
          <w:sz w:val="32"/>
          <w:szCs w:val="32"/>
          <w:lang w:eastAsia="zh-CN"/>
        </w:rPr>
        <w:t>。</w:t>
      </w:r>
    </w:p>
    <w:p w14:paraId="742CC2F2">
      <w:pPr>
        <w:widowControl/>
        <w:numPr>
          <w:ilvl w:val="0"/>
          <w:numId w:val="0"/>
        </w:numPr>
        <w:adjustRightInd w:val="0"/>
        <w:snapToGrid w:val="0"/>
        <w:spacing w:line="578" w:lineRule="exact"/>
        <w:ind w:firstLine="640" w:firstLineChars="200"/>
        <w:contextualSpacing/>
        <w:jc w:val="left"/>
        <w:rPr>
          <w:rFonts w:hint="eastAsia" w:ascii="Times New Roman" w:hAnsi="Times New Roman" w:eastAsia="仿宋_GB2312" w:cs="Times New Roman"/>
          <w:kern w:val="0"/>
          <w:sz w:val="32"/>
          <w:szCs w:val="32"/>
          <w:shd w:val="clear" w:color="auto" w:fill="FFFFFF"/>
        </w:rPr>
      </w:pPr>
      <w:r>
        <w:rPr>
          <w:rFonts w:hint="eastAsia" w:ascii="Times New Roman" w:hAnsi="Times New Roman" w:eastAsia="仿宋_GB2312" w:cs="Times New Roman"/>
          <w:kern w:val="0"/>
          <w:sz w:val="32"/>
          <w:szCs w:val="32"/>
          <w:shd w:val="clear" w:color="auto" w:fill="FFFFFF"/>
        </w:rPr>
        <w:t>开展治安防控，化解矛盾，进行基层治理和应急管理。通过经费保障推动了“综治中心”全覆盖、刑事案件发案率下降。提升群众安全感。</w:t>
      </w:r>
    </w:p>
    <w:p w14:paraId="43F53106">
      <w:pPr>
        <w:spacing w:line="578" w:lineRule="exact"/>
        <w:ind w:firstLine="640" w:firstLineChars="200"/>
        <w:rPr>
          <w:rFonts w:hint="eastAsia" w:ascii="Times New Roman" w:hAnsi="Times New Roman" w:eastAsia="仿宋_GB2312"/>
          <w:sz w:val="32"/>
          <w:szCs w:val="32"/>
        </w:rPr>
      </w:pPr>
      <w:r>
        <w:rPr>
          <w:rFonts w:ascii="Times New Roman" w:hAnsi="Times New Roman" w:eastAsia="楷体_GB2312"/>
          <w:sz w:val="32"/>
          <w:szCs w:val="32"/>
        </w:rPr>
        <w:t>3.基础设施类。</w:t>
      </w:r>
      <w:r>
        <w:rPr>
          <w:rFonts w:hint="eastAsia" w:ascii="Times New Roman" w:hAnsi="Times New Roman" w:eastAsia="仿宋_GB2312"/>
          <w:sz w:val="32"/>
          <w:szCs w:val="32"/>
        </w:rPr>
        <w:t>无</w:t>
      </w:r>
    </w:p>
    <w:p w14:paraId="10C443CC">
      <w:pPr>
        <w:spacing w:line="578" w:lineRule="exact"/>
        <w:ind w:firstLine="640" w:firstLineChars="200"/>
        <w:rPr>
          <w:rFonts w:hint="eastAsia" w:ascii="Times New Roman" w:hAnsi="Times New Roman" w:eastAsia="仿宋_GB2312"/>
          <w:sz w:val="32"/>
          <w:szCs w:val="32"/>
        </w:rPr>
      </w:pPr>
      <w:r>
        <w:rPr>
          <w:rFonts w:ascii="Times New Roman" w:hAnsi="Times New Roman" w:eastAsia="楷体_GB2312"/>
          <w:sz w:val="32"/>
          <w:szCs w:val="32"/>
        </w:rPr>
        <w:t>4.</w:t>
      </w:r>
      <w:r>
        <w:rPr>
          <w:rFonts w:ascii="Times New Roman" w:hAnsi="Times New Roman" w:eastAsia="楷体_GB2312"/>
          <w:sz w:val="32"/>
          <w:szCs w:val="32"/>
          <w:lang w:val="zh-CN"/>
        </w:rPr>
        <w:t>行政运转</w:t>
      </w:r>
      <w:r>
        <w:rPr>
          <w:rFonts w:ascii="Times New Roman" w:hAnsi="Times New Roman" w:eastAsia="楷体_GB2312"/>
          <w:sz w:val="32"/>
          <w:szCs w:val="32"/>
        </w:rPr>
        <w:t>类</w:t>
      </w:r>
      <w:r>
        <w:rPr>
          <w:rFonts w:ascii="Times New Roman" w:hAnsi="Times New Roman" w:eastAsia="楷体_GB2312"/>
          <w:sz w:val="32"/>
          <w:szCs w:val="32"/>
          <w:lang w:val="zh-CN"/>
        </w:rPr>
        <w:t>。</w:t>
      </w:r>
      <w:r>
        <w:rPr>
          <w:rFonts w:hint="eastAsia" w:ascii="Times New Roman" w:hAnsi="Times New Roman" w:eastAsia="仿宋_GB2312"/>
          <w:sz w:val="32"/>
          <w:szCs w:val="32"/>
        </w:rPr>
        <w:t>无</w:t>
      </w:r>
    </w:p>
    <w:p w14:paraId="29559E4C">
      <w:pPr>
        <w:spacing w:line="578" w:lineRule="exact"/>
        <w:ind w:firstLine="640"/>
        <w:rPr>
          <w:rFonts w:ascii="Times New Roman" w:hAnsi="Times New Roman" w:eastAsia="楷体_GB2312"/>
          <w:b/>
          <w:bCs/>
          <w:color w:val="000000"/>
          <w:kern w:val="0"/>
          <w:sz w:val="32"/>
          <w:szCs w:val="32"/>
          <w:shd w:val="clear" w:color="auto" w:fill="FFFFFF"/>
          <w:lang w:val="zh-CN"/>
        </w:rPr>
      </w:pPr>
      <w:r>
        <w:rPr>
          <w:rFonts w:ascii="Times New Roman" w:hAnsi="Times New Roman" w:eastAsia="楷体_GB2312"/>
          <w:b/>
          <w:sz w:val="32"/>
          <w:szCs w:val="32"/>
          <w:lang w:val="zh-CN"/>
        </w:rPr>
        <w:t>（三）</w:t>
      </w:r>
      <w:r>
        <w:rPr>
          <w:rFonts w:ascii="Times New Roman" w:hAnsi="Times New Roman" w:eastAsia="楷体_GB2312"/>
          <w:b/>
          <w:sz w:val="32"/>
          <w:szCs w:val="32"/>
        </w:rPr>
        <w:t>个性指标</w:t>
      </w:r>
      <w:r>
        <w:rPr>
          <w:rFonts w:ascii="Times New Roman" w:hAnsi="Times New Roman" w:eastAsia="楷体_GB2312"/>
          <w:b/>
          <w:bCs/>
          <w:color w:val="000000"/>
          <w:kern w:val="0"/>
          <w:sz w:val="32"/>
          <w:szCs w:val="32"/>
          <w:shd w:val="clear" w:color="auto" w:fill="FFFFFF"/>
          <w:lang w:val="zh-CN"/>
        </w:rPr>
        <w:t>绩效分析。</w:t>
      </w:r>
    </w:p>
    <w:p w14:paraId="408AE154">
      <w:pPr>
        <w:widowControl/>
        <w:numPr>
          <w:ilvl w:val="0"/>
          <w:numId w:val="0"/>
        </w:numPr>
        <w:adjustRightInd w:val="0"/>
        <w:snapToGrid w:val="0"/>
        <w:spacing w:line="578" w:lineRule="exact"/>
        <w:ind w:firstLine="640" w:firstLineChars="200"/>
        <w:contextualSpacing/>
        <w:jc w:val="left"/>
        <w:rPr>
          <w:rFonts w:hint="eastAsia" w:ascii="Times New Roman" w:hAnsi="Times New Roman" w:eastAsia="仿宋_GB2312" w:cs="Times New Roman"/>
          <w:kern w:val="0"/>
          <w:sz w:val="32"/>
          <w:szCs w:val="32"/>
          <w:shd w:val="clear" w:color="auto" w:fill="FFFFFF"/>
        </w:rPr>
      </w:pPr>
      <w:r>
        <w:rPr>
          <w:rFonts w:hint="eastAsia" w:ascii="Times New Roman" w:hAnsi="Times New Roman" w:eastAsia="仿宋_GB2312" w:cs="Times New Roman"/>
          <w:kern w:val="0"/>
          <w:sz w:val="32"/>
          <w:szCs w:val="32"/>
          <w:shd w:val="clear" w:color="auto" w:fill="FFFFFF"/>
        </w:rPr>
        <w:t>表彰见义勇为先进个人4人，创建平安社区1500个，链路视频图像资源运维护15条，政法宣传工作合作单位2个。综治中心全年运行费用、视频图像资源运维完成率100%。2024年完成所有绩效目标。</w:t>
      </w:r>
    </w:p>
    <w:p w14:paraId="54F35D6A">
      <w:pPr>
        <w:widowControl/>
        <w:spacing w:line="600" w:lineRule="exact"/>
        <w:ind w:firstLine="640" w:firstLineChars="200"/>
        <w:jc w:val="left"/>
        <w:rPr>
          <w:rFonts w:ascii="Times New Roman" w:hAnsi="Times New Roman" w:eastAsia="黑体"/>
          <w:kern w:val="0"/>
          <w:position w:val="3"/>
          <w:sz w:val="32"/>
          <w:szCs w:val="32"/>
        </w:rPr>
      </w:pPr>
      <w:r>
        <w:rPr>
          <w:rFonts w:ascii="Times New Roman" w:hAnsi="Times New Roman" w:eastAsia="黑体"/>
          <w:kern w:val="0"/>
          <w:position w:val="3"/>
          <w:sz w:val="32"/>
          <w:szCs w:val="32"/>
        </w:rPr>
        <w:t>四、评价结论</w:t>
      </w:r>
    </w:p>
    <w:p w14:paraId="78194485">
      <w:pPr>
        <w:widowControl/>
        <w:numPr>
          <w:ilvl w:val="0"/>
          <w:numId w:val="0"/>
        </w:numPr>
        <w:adjustRightInd w:val="0"/>
        <w:snapToGrid w:val="0"/>
        <w:spacing w:line="578" w:lineRule="exact"/>
        <w:ind w:firstLine="640" w:firstLineChars="200"/>
        <w:contextualSpacing/>
        <w:jc w:val="left"/>
        <w:rPr>
          <w:rFonts w:hint="eastAsia" w:ascii="Times New Roman" w:hAnsi="Times New Roman" w:eastAsia="仿宋_GB2312" w:cs="Times New Roman"/>
          <w:kern w:val="0"/>
          <w:sz w:val="32"/>
          <w:szCs w:val="32"/>
          <w:shd w:val="clear" w:color="auto" w:fill="FFFFFF"/>
        </w:rPr>
      </w:pPr>
      <w:r>
        <w:rPr>
          <w:rFonts w:hint="eastAsia" w:ascii="Times New Roman" w:hAnsi="Times New Roman" w:eastAsia="仿宋_GB2312" w:cs="Times New Roman"/>
          <w:kern w:val="0"/>
          <w:sz w:val="32"/>
          <w:szCs w:val="32"/>
          <w:shd w:val="clear" w:color="auto" w:fill="FFFFFF"/>
        </w:rPr>
        <w:t>该项目100%完成目标任务，预算执行率为100%。项目实施效果为优。</w:t>
      </w:r>
    </w:p>
    <w:p w14:paraId="6A95A0D7">
      <w:pPr>
        <w:widowControl/>
        <w:spacing w:line="600" w:lineRule="exact"/>
        <w:ind w:firstLine="640" w:firstLineChars="200"/>
        <w:jc w:val="left"/>
        <w:rPr>
          <w:rFonts w:ascii="Times New Roman" w:hAnsi="Times New Roman" w:eastAsia="仿宋_GB2312"/>
          <w:kern w:val="0"/>
          <w:sz w:val="32"/>
          <w:szCs w:val="32"/>
        </w:rPr>
      </w:pPr>
      <w:r>
        <w:rPr>
          <w:rFonts w:ascii="Times New Roman" w:hAnsi="Times New Roman" w:eastAsia="黑体"/>
          <w:kern w:val="0"/>
          <w:position w:val="3"/>
          <w:sz w:val="32"/>
          <w:szCs w:val="32"/>
        </w:rPr>
        <w:t>五、存在主要问题</w:t>
      </w:r>
    </w:p>
    <w:p w14:paraId="226EE53B">
      <w:pPr>
        <w:widowControl/>
        <w:numPr>
          <w:ilvl w:val="0"/>
          <w:numId w:val="0"/>
        </w:numPr>
        <w:adjustRightInd w:val="0"/>
        <w:snapToGrid w:val="0"/>
        <w:spacing w:line="578" w:lineRule="exact"/>
        <w:ind w:firstLine="640" w:firstLineChars="200"/>
        <w:contextualSpacing/>
        <w:jc w:val="left"/>
        <w:rPr>
          <w:rFonts w:hint="eastAsia" w:ascii="Times New Roman" w:hAnsi="Times New Roman" w:eastAsia="仿宋_GB2312" w:cs="Times New Roman"/>
          <w:kern w:val="0"/>
          <w:sz w:val="32"/>
          <w:szCs w:val="32"/>
          <w:shd w:val="clear" w:color="auto" w:fill="FFFFFF"/>
        </w:rPr>
      </w:pPr>
      <w:r>
        <w:rPr>
          <w:rFonts w:hint="eastAsia" w:ascii="Times New Roman" w:hAnsi="Times New Roman" w:eastAsia="仿宋_GB2312" w:cs="Times New Roman"/>
          <w:kern w:val="0"/>
          <w:sz w:val="32"/>
          <w:szCs w:val="32"/>
          <w:shd w:val="clear" w:color="auto" w:fill="FFFFFF"/>
        </w:rPr>
        <w:t>无问题</w:t>
      </w:r>
    </w:p>
    <w:p w14:paraId="119EE9A4">
      <w:pPr>
        <w:widowControl/>
        <w:spacing w:line="600" w:lineRule="exact"/>
        <w:ind w:firstLine="640" w:firstLineChars="200"/>
        <w:jc w:val="left"/>
        <w:rPr>
          <w:rFonts w:ascii="Times New Roman" w:hAnsi="Times New Roman" w:eastAsia="黑体"/>
          <w:kern w:val="0"/>
          <w:position w:val="3"/>
          <w:sz w:val="32"/>
          <w:szCs w:val="32"/>
          <w:lang w:val="zh-CN"/>
        </w:rPr>
      </w:pPr>
      <w:r>
        <w:rPr>
          <w:rFonts w:ascii="Times New Roman" w:hAnsi="Times New Roman" w:eastAsia="黑体"/>
          <w:kern w:val="0"/>
          <w:position w:val="3"/>
          <w:sz w:val="32"/>
          <w:szCs w:val="32"/>
          <w:lang w:val="zh-CN"/>
        </w:rPr>
        <w:t>六、改进建议</w:t>
      </w:r>
    </w:p>
    <w:p w14:paraId="6EBAF41C">
      <w:pPr>
        <w:widowControl/>
        <w:numPr>
          <w:ilvl w:val="0"/>
          <w:numId w:val="0"/>
        </w:numPr>
        <w:adjustRightInd w:val="0"/>
        <w:snapToGrid w:val="0"/>
        <w:spacing w:line="578" w:lineRule="exact"/>
        <w:ind w:firstLine="640" w:firstLineChars="200"/>
        <w:contextualSpacing/>
        <w:jc w:val="left"/>
        <w:rPr>
          <w:rFonts w:hint="eastAsia" w:ascii="Times New Roman" w:hAnsi="Times New Roman" w:eastAsia="仿宋_GB2312" w:cs="Times New Roman"/>
          <w:kern w:val="0"/>
          <w:sz w:val="32"/>
          <w:szCs w:val="32"/>
          <w:shd w:val="clear" w:color="auto" w:fill="FFFFFF"/>
        </w:rPr>
      </w:pPr>
      <w:r>
        <w:rPr>
          <w:rFonts w:hint="eastAsia" w:ascii="Times New Roman" w:hAnsi="Times New Roman" w:eastAsia="仿宋_GB2312" w:cs="Times New Roman"/>
          <w:kern w:val="0"/>
          <w:sz w:val="32"/>
          <w:szCs w:val="32"/>
          <w:shd w:val="clear" w:color="auto" w:fill="FFFFFF"/>
        </w:rPr>
        <w:t>简要阐述专项预算项目在</w:t>
      </w:r>
      <w:r>
        <w:rPr>
          <w:rFonts w:hint="eastAsia" w:ascii="Times New Roman" w:hAnsi="Times New Roman" w:eastAsia="仿宋_GB2312" w:cs="Times New Roman"/>
          <w:kern w:val="0"/>
          <w:sz w:val="32"/>
          <w:szCs w:val="32"/>
          <w:shd w:val="clear" w:color="auto" w:fill="FFFFFF"/>
          <w:lang w:val="en"/>
        </w:rPr>
        <w:t>预算安排、完善政策、改进管理等方面的</w:t>
      </w:r>
      <w:r>
        <w:rPr>
          <w:rFonts w:hint="eastAsia" w:ascii="Times New Roman" w:hAnsi="Times New Roman" w:eastAsia="仿宋_GB2312" w:cs="Times New Roman"/>
          <w:kern w:val="0"/>
          <w:sz w:val="32"/>
          <w:szCs w:val="32"/>
          <w:shd w:val="clear" w:color="auto" w:fill="FFFFFF"/>
        </w:rPr>
        <w:t>措施</w:t>
      </w:r>
      <w:r>
        <w:rPr>
          <w:rFonts w:hint="eastAsia" w:ascii="Times New Roman" w:hAnsi="Times New Roman" w:eastAsia="仿宋_GB2312" w:cs="Times New Roman"/>
          <w:kern w:val="0"/>
          <w:sz w:val="32"/>
          <w:szCs w:val="32"/>
          <w:shd w:val="clear" w:color="auto" w:fill="FFFFFF"/>
          <w:lang w:val="en"/>
        </w:rPr>
        <w:t>建议，其中</w:t>
      </w:r>
      <w:r>
        <w:rPr>
          <w:rFonts w:hint="eastAsia" w:ascii="Times New Roman" w:hAnsi="Times New Roman" w:eastAsia="仿宋_GB2312" w:cs="Times New Roman"/>
          <w:kern w:val="0"/>
          <w:sz w:val="32"/>
          <w:szCs w:val="32"/>
          <w:shd w:val="clear" w:color="auto" w:fill="FFFFFF"/>
        </w:rPr>
        <w:t>必须对应评价发现的主要问题一一提出措施建议。</w:t>
      </w:r>
    </w:p>
    <w:p w14:paraId="1F454CC1">
      <w:pPr>
        <w:widowControl/>
        <w:numPr>
          <w:ilvl w:val="0"/>
          <w:numId w:val="0"/>
        </w:numPr>
        <w:adjustRightInd w:val="0"/>
        <w:snapToGrid w:val="0"/>
        <w:spacing w:line="578" w:lineRule="exact"/>
        <w:ind w:firstLine="640" w:firstLineChars="200"/>
        <w:contextualSpacing/>
        <w:jc w:val="left"/>
        <w:rPr>
          <w:rFonts w:hint="eastAsia" w:ascii="Times New Roman" w:hAnsi="Times New Roman" w:eastAsia="仿宋_GB2312" w:cs="Times New Roman"/>
          <w:kern w:val="0"/>
          <w:sz w:val="32"/>
          <w:szCs w:val="32"/>
          <w:shd w:val="clear" w:color="auto" w:fill="FFFFFF"/>
        </w:rPr>
      </w:pPr>
      <w:r>
        <w:rPr>
          <w:rFonts w:hint="eastAsia" w:ascii="Times New Roman" w:hAnsi="Times New Roman" w:eastAsia="仿宋_GB2312" w:cs="Times New Roman"/>
          <w:kern w:val="0"/>
          <w:sz w:val="32"/>
          <w:szCs w:val="32"/>
          <w:shd w:val="clear" w:color="auto" w:fill="FFFFFF"/>
        </w:rPr>
        <w:t xml:space="preserve">1.强化动态调整机制。对项目预算进行动态监控，及时对项目的资金支付情况，项目实施进度和过程进行结果分析，动态调整项目资金和项目进度，避免突击花钱。  </w:t>
      </w:r>
    </w:p>
    <w:p w14:paraId="643DDBED">
      <w:pPr>
        <w:widowControl/>
        <w:numPr>
          <w:ilvl w:val="0"/>
          <w:numId w:val="0"/>
        </w:numPr>
        <w:adjustRightInd w:val="0"/>
        <w:snapToGrid w:val="0"/>
        <w:spacing w:line="578" w:lineRule="exact"/>
        <w:ind w:firstLine="640" w:firstLineChars="200"/>
        <w:contextualSpacing/>
        <w:jc w:val="left"/>
        <w:rPr>
          <w:rFonts w:hint="eastAsia" w:ascii="Times New Roman" w:hAnsi="Times New Roman" w:eastAsia="仿宋_GB2312" w:cs="Times New Roman"/>
          <w:kern w:val="0"/>
          <w:sz w:val="32"/>
          <w:szCs w:val="32"/>
          <w:shd w:val="clear" w:color="auto" w:fill="FFFFFF"/>
        </w:rPr>
      </w:pPr>
      <w:r>
        <w:rPr>
          <w:rFonts w:hint="eastAsia" w:ascii="Times New Roman" w:hAnsi="Times New Roman" w:eastAsia="仿宋_GB2312" w:cs="Times New Roman"/>
          <w:kern w:val="0"/>
          <w:sz w:val="32"/>
          <w:szCs w:val="32"/>
          <w:shd w:val="clear" w:color="auto" w:fill="FFFFFF"/>
        </w:rPr>
        <w:t>2.对目标设置进行量化，避免量化模糊表述。</w:t>
      </w:r>
    </w:p>
    <w:p w14:paraId="61182A2C">
      <w:pPr>
        <w:widowControl/>
        <w:numPr>
          <w:ilvl w:val="0"/>
          <w:numId w:val="0"/>
        </w:numPr>
        <w:adjustRightInd w:val="0"/>
        <w:snapToGrid w:val="0"/>
        <w:spacing w:line="578" w:lineRule="exact"/>
        <w:ind w:firstLine="640" w:firstLineChars="200"/>
        <w:contextualSpacing/>
        <w:jc w:val="left"/>
        <w:rPr>
          <w:rFonts w:hint="eastAsia" w:ascii="Times New Roman" w:hAnsi="Times New Roman" w:eastAsia="仿宋_GB2312" w:cs="Times New Roman"/>
          <w:kern w:val="0"/>
          <w:sz w:val="32"/>
          <w:szCs w:val="32"/>
          <w:shd w:val="clear" w:color="auto" w:fill="FFFFFF"/>
        </w:rPr>
      </w:pPr>
      <w:r>
        <w:rPr>
          <w:rFonts w:hint="eastAsia" w:ascii="Times New Roman" w:hAnsi="Times New Roman" w:eastAsia="仿宋_GB2312" w:cs="Times New Roman"/>
          <w:kern w:val="0"/>
          <w:sz w:val="32"/>
          <w:szCs w:val="32"/>
          <w:shd w:val="clear" w:color="auto" w:fill="FFFFFF"/>
        </w:rPr>
        <w:t>3.强化成果的转化工作。</w:t>
      </w:r>
    </w:p>
    <w:p w14:paraId="47347925">
      <w:pPr>
        <w:widowControl/>
        <w:numPr>
          <w:ilvl w:val="0"/>
          <w:numId w:val="0"/>
        </w:numPr>
        <w:adjustRightInd w:val="0"/>
        <w:snapToGrid w:val="0"/>
        <w:spacing w:line="578" w:lineRule="exact"/>
        <w:ind w:firstLine="640" w:firstLineChars="200"/>
        <w:contextualSpacing/>
        <w:jc w:val="left"/>
        <w:rPr>
          <w:rFonts w:hint="eastAsia" w:ascii="Times New Roman" w:hAnsi="Times New Roman" w:eastAsia="仿宋_GB2312" w:cs="Times New Roman"/>
          <w:kern w:val="0"/>
          <w:sz w:val="32"/>
          <w:szCs w:val="32"/>
          <w:shd w:val="clear" w:color="auto" w:fill="FFFFFF"/>
          <w:lang w:val="zh-CN"/>
        </w:rPr>
      </w:pPr>
      <w:r>
        <w:rPr>
          <w:rFonts w:hint="eastAsia" w:ascii="Times New Roman" w:hAnsi="Times New Roman" w:eastAsia="仿宋_GB2312" w:cs="Times New Roman"/>
          <w:kern w:val="0"/>
          <w:sz w:val="32"/>
          <w:szCs w:val="32"/>
          <w:shd w:val="clear" w:color="auto" w:fill="FFFFFF"/>
        </w:rPr>
        <w:t>4.加强对项目的监督与问责。</w:t>
      </w:r>
    </w:p>
    <w:p w14:paraId="309B6D4E">
      <w:pPr>
        <w:keepNext w:val="0"/>
        <w:keepLines w:val="0"/>
        <w:pageBreakBefore w:val="0"/>
        <w:widowControl w:val="0"/>
        <w:kinsoku/>
        <w:wordWrap/>
        <w:overflowPunct/>
        <w:topLinePunct w:val="0"/>
        <w:autoSpaceDE/>
        <w:autoSpaceDN/>
        <w:bidi w:val="0"/>
        <w:spacing w:line="578" w:lineRule="exact"/>
        <w:textAlignment w:val="auto"/>
        <w:outlineLvl w:val="9"/>
        <w:rPr>
          <w:rFonts w:hint="eastAsia" w:ascii="Times New Roman" w:hAnsi="Times New Roman" w:eastAsia="仿宋_GB2312" w:cs="仿宋_GB2312"/>
          <w:b w:val="0"/>
          <w:bCs w:val="0"/>
          <w:kern w:val="0"/>
          <w:position w:val="0"/>
          <w:sz w:val="32"/>
          <w:szCs w:val="32"/>
          <w:highlight w:val="none"/>
          <w:lang w:val="en-US" w:eastAsia="zh-CN" w:bidi="ar-SA"/>
        </w:rPr>
      </w:pPr>
      <w:bookmarkStart w:id="56" w:name="_Toc15396618"/>
      <w:r>
        <w:rPr>
          <w:rFonts w:hint="eastAsia" w:ascii="Times New Roman" w:hAnsi="Times New Roman" w:eastAsia="仿宋_GB2312" w:cs="仿宋_GB2312"/>
          <w:b w:val="0"/>
          <w:bCs w:val="0"/>
          <w:kern w:val="0"/>
          <w:position w:val="0"/>
          <w:sz w:val="32"/>
          <w:szCs w:val="32"/>
          <w:highlight w:val="none"/>
          <w:lang w:val="en-US" w:eastAsia="zh-CN" w:bidi="ar-SA"/>
        </w:rPr>
        <w:br w:type="page"/>
      </w:r>
    </w:p>
    <w:p w14:paraId="71CF4AA2">
      <w:pPr>
        <w:widowControl/>
        <w:jc w:val="center"/>
        <w:rPr>
          <w:rFonts w:hint="eastAsia" w:ascii="Times New Roman" w:hAnsi="Times New Roman" w:eastAsia="仿宋"/>
          <w:b w:val="0"/>
          <w:color w:val="auto"/>
          <w:highlight w:val="none"/>
        </w:rPr>
      </w:pPr>
      <w:r>
        <w:rPr>
          <w:rFonts w:hint="eastAsia" w:ascii="Times New Roman" w:hAnsi="Times New Roman" w:eastAsia="黑体"/>
          <w:color w:val="auto"/>
          <w:sz w:val="44"/>
          <w:szCs w:val="44"/>
          <w:highlight w:val="none"/>
        </w:rPr>
        <w:t>第</w:t>
      </w:r>
      <w:r>
        <w:rPr>
          <w:rStyle w:val="28"/>
          <w:rFonts w:hint="eastAsia" w:ascii="Times New Roman" w:hAnsi="Times New Roman" w:eastAsia="黑体"/>
          <w:b w:val="0"/>
          <w:color w:val="auto"/>
          <w:highlight w:val="none"/>
        </w:rPr>
        <w:t>五部分 附表</w:t>
      </w:r>
      <w:bookmarkEnd w:id="53"/>
      <w:bookmarkEnd w:id="56"/>
      <w:bookmarkStart w:id="57" w:name="_Toc15396619"/>
    </w:p>
    <w:p w14:paraId="0D7DE51C">
      <w:pPr>
        <w:pStyle w:val="14"/>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p>
    <w:p w14:paraId="49EBC7AE">
      <w:pPr>
        <w:pStyle w:val="14"/>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一、收入支出决算总表</w:t>
      </w:r>
      <w:bookmarkEnd w:id="57"/>
    </w:p>
    <w:p w14:paraId="45579A14">
      <w:pPr>
        <w:pStyle w:val="14"/>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bookmarkStart w:id="58" w:name="_Toc15396620"/>
      <w:r>
        <w:rPr>
          <w:rFonts w:hint="eastAsia" w:ascii="Times New Roman" w:hAnsi="Times New Roman" w:eastAsia="仿宋_GB2312" w:cs="仿宋_GB2312"/>
          <w:color w:val="auto"/>
          <w:sz w:val="32"/>
          <w:szCs w:val="32"/>
          <w:highlight w:val="none"/>
        </w:rPr>
        <w:t>二、收入决算表</w:t>
      </w:r>
      <w:bookmarkEnd w:id="58"/>
    </w:p>
    <w:p w14:paraId="01C7D62D">
      <w:pPr>
        <w:pStyle w:val="14"/>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bookmarkStart w:id="59" w:name="_Toc15396621"/>
      <w:r>
        <w:rPr>
          <w:rFonts w:hint="eastAsia" w:ascii="Times New Roman" w:hAnsi="Times New Roman" w:eastAsia="仿宋_GB2312" w:cs="仿宋_GB2312"/>
          <w:color w:val="auto"/>
          <w:sz w:val="32"/>
          <w:szCs w:val="32"/>
          <w:highlight w:val="none"/>
        </w:rPr>
        <w:t>三、支出决算表</w:t>
      </w:r>
      <w:bookmarkEnd w:id="59"/>
    </w:p>
    <w:p w14:paraId="01A4A2DB">
      <w:pPr>
        <w:pStyle w:val="14"/>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bookmarkStart w:id="60" w:name="_Toc15396622"/>
      <w:r>
        <w:rPr>
          <w:rFonts w:hint="eastAsia" w:ascii="Times New Roman" w:hAnsi="Times New Roman" w:eastAsia="仿宋_GB2312" w:cs="仿宋_GB2312"/>
          <w:color w:val="auto"/>
          <w:sz w:val="32"/>
          <w:szCs w:val="32"/>
          <w:highlight w:val="none"/>
        </w:rPr>
        <w:t>四、财政拨款收入支出决算总表</w:t>
      </w:r>
      <w:bookmarkEnd w:id="60"/>
    </w:p>
    <w:p w14:paraId="41BC58D2">
      <w:pPr>
        <w:pStyle w:val="14"/>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bookmarkStart w:id="61" w:name="_Toc15396623"/>
      <w:r>
        <w:rPr>
          <w:rFonts w:hint="eastAsia" w:ascii="Times New Roman" w:hAnsi="Times New Roman" w:eastAsia="仿宋_GB2312" w:cs="仿宋_GB2312"/>
          <w:color w:val="auto"/>
          <w:sz w:val="32"/>
          <w:szCs w:val="32"/>
          <w:highlight w:val="none"/>
        </w:rPr>
        <w:t>五、财政拨款支出决算明细表</w:t>
      </w:r>
      <w:bookmarkEnd w:id="61"/>
      <w:bookmarkStart w:id="62" w:name="_Toc15396624"/>
    </w:p>
    <w:p w14:paraId="660EC815">
      <w:pPr>
        <w:pStyle w:val="14"/>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六、一般公共预算财政拨款支出决算表</w:t>
      </w:r>
      <w:bookmarkEnd w:id="62"/>
    </w:p>
    <w:p w14:paraId="3D8DF732">
      <w:pPr>
        <w:pStyle w:val="14"/>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bookmarkStart w:id="63" w:name="_Toc15396625"/>
      <w:r>
        <w:rPr>
          <w:rFonts w:hint="eastAsia" w:ascii="Times New Roman" w:hAnsi="Times New Roman" w:eastAsia="仿宋_GB2312" w:cs="仿宋_GB2312"/>
          <w:color w:val="auto"/>
          <w:sz w:val="32"/>
          <w:szCs w:val="32"/>
          <w:highlight w:val="none"/>
        </w:rPr>
        <w:t>七、一般公共预算财政拨款支出决算明细表</w:t>
      </w:r>
      <w:bookmarkEnd w:id="63"/>
    </w:p>
    <w:p w14:paraId="6408DCAD">
      <w:pPr>
        <w:pStyle w:val="14"/>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bookmarkStart w:id="64" w:name="_Toc15396626"/>
      <w:r>
        <w:rPr>
          <w:rFonts w:hint="eastAsia" w:ascii="Times New Roman" w:hAnsi="Times New Roman" w:eastAsia="仿宋_GB2312" w:cs="仿宋_GB2312"/>
          <w:color w:val="auto"/>
          <w:sz w:val="32"/>
          <w:szCs w:val="32"/>
          <w:highlight w:val="none"/>
        </w:rPr>
        <w:t>八、一般公共预算财政拨款基本支出决算表</w:t>
      </w:r>
      <w:bookmarkEnd w:id="64"/>
    </w:p>
    <w:p w14:paraId="2EDB9FE9">
      <w:pPr>
        <w:pStyle w:val="14"/>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bookmarkStart w:id="65" w:name="_Toc15396627"/>
      <w:r>
        <w:rPr>
          <w:rFonts w:hint="eastAsia" w:ascii="Times New Roman" w:hAnsi="Times New Roman" w:eastAsia="仿宋_GB2312" w:cs="仿宋_GB2312"/>
          <w:color w:val="auto"/>
          <w:sz w:val="32"/>
          <w:szCs w:val="32"/>
          <w:highlight w:val="none"/>
        </w:rPr>
        <w:t>九、一般公共预算财政拨款项目支出决算表</w:t>
      </w:r>
      <w:bookmarkEnd w:id="65"/>
    </w:p>
    <w:p w14:paraId="009DAFBE">
      <w:pPr>
        <w:pStyle w:val="14"/>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bookmarkStart w:id="66" w:name="_Toc15396628"/>
      <w:r>
        <w:rPr>
          <w:rFonts w:hint="eastAsia" w:ascii="Times New Roman" w:hAnsi="Times New Roman" w:eastAsia="仿宋_GB2312" w:cs="仿宋_GB2312"/>
          <w:color w:val="auto"/>
          <w:sz w:val="32"/>
          <w:szCs w:val="32"/>
          <w:highlight w:val="none"/>
        </w:rPr>
        <w:t>十、</w:t>
      </w:r>
      <w:bookmarkEnd w:id="66"/>
      <w:r>
        <w:rPr>
          <w:rFonts w:hint="eastAsia" w:ascii="Times New Roman" w:hAnsi="Times New Roman" w:eastAsia="仿宋_GB2312" w:cs="仿宋_GB2312"/>
          <w:color w:val="auto"/>
          <w:sz w:val="32"/>
          <w:szCs w:val="32"/>
          <w:highlight w:val="none"/>
        </w:rPr>
        <w:t>政府性基金预算财政拨款收入支出决算表</w:t>
      </w:r>
    </w:p>
    <w:p w14:paraId="04DD2E54">
      <w:pPr>
        <w:pStyle w:val="14"/>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bookmarkStart w:id="67" w:name="_Toc15396629"/>
      <w:r>
        <w:rPr>
          <w:rFonts w:hint="eastAsia" w:ascii="Times New Roman" w:hAnsi="Times New Roman" w:eastAsia="仿宋_GB2312" w:cs="仿宋_GB2312"/>
          <w:color w:val="auto"/>
          <w:sz w:val="32"/>
          <w:szCs w:val="32"/>
          <w:highlight w:val="none"/>
        </w:rPr>
        <w:t>十一、</w:t>
      </w:r>
      <w:bookmarkEnd w:id="67"/>
      <w:r>
        <w:rPr>
          <w:rFonts w:hint="eastAsia" w:ascii="Times New Roman" w:hAnsi="Times New Roman" w:eastAsia="仿宋_GB2312" w:cs="仿宋_GB2312"/>
          <w:color w:val="auto"/>
          <w:sz w:val="32"/>
          <w:szCs w:val="32"/>
          <w:highlight w:val="none"/>
        </w:rPr>
        <w:t>国有资本经营预算</w:t>
      </w:r>
      <w:r>
        <w:rPr>
          <w:rFonts w:hint="eastAsia" w:ascii="Times New Roman" w:hAnsi="Times New Roman" w:eastAsia="仿宋_GB2312" w:cs="仿宋_GB2312"/>
          <w:color w:val="auto"/>
          <w:sz w:val="32"/>
          <w:szCs w:val="32"/>
          <w:highlight w:val="none"/>
          <w:lang w:eastAsia="zh-CN"/>
        </w:rPr>
        <w:t>财政拨款收入</w:t>
      </w:r>
      <w:r>
        <w:rPr>
          <w:rFonts w:hint="eastAsia" w:ascii="Times New Roman" w:hAnsi="Times New Roman" w:eastAsia="仿宋_GB2312" w:cs="仿宋_GB2312"/>
          <w:color w:val="auto"/>
          <w:sz w:val="32"/>
          <w:szCs w:val="32"/>
          <w:highlight w:val="none"/>
        </w:rPr>
        <w:t>支出决算表</w:t>
      </w:r>
    </w:p>
    <w:p w14:paraId="2F0D4BD1">
      <w:pPr>
        <w:pStyle w:val="14"/>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bookmarkStart w:id="68" w:name="_Toc15396630"/>
      <w:r>
        <w:rPr>
          <w:rFonts w:hint="eastAsia" w:ascii="Times New Roman" w:hAnsi="Times New Roman" w:eastAsia="仿宋_GB2312" w:cs="仿宋_GB2312"/>
          <w:color w:val="auto"/>
          <w:sz w:val="32"/>
          <w:szCs w:val="32"/>
          <w:highlight w:val="none"/>
        </w:rPr>
        <w:t>十二、</w:t>
      </w:r>
      <w:bookmarkEnd w:id="68"/>
      <w:r>
        <w:rPr>
          <w:rFonts w:hint="eastAsia" w:ascii="Times New Roman" w:hAnsi="Times New Roman" w:eastAsia="仿宋_GB2312" w:cs="仿宋_GB2312"/>
          <w:color w:val="auto"/>
          <w:sz w:val="32"/>
          <w:szCs w:val="32"/>
          <w:highlight w:val="none"/>
          <w:lang w:eastAsia="zh-CN"/>
        </w:rPr>
        <w:t>国有资本经营预算财政拨款支出决算表</w:t>
      </w:r>
    </w:p>
    <w:p w14:paraId="5CDDCD2A">
      <w:pPr>
        <w:pStyle w:val="14"/>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lang w:eastAsia="zh-CN"/>
        </w:rPr>
      </w:pPr>
      <w:bookmarkStart w:id="69" w:name="_Toc15396631"/>
      <w:r>
        <w:rPr>
          <w:rFonts w:hint="eastAsia" w:ascii="Times New Roman" w:hAnsi="Times New Roman" w:eastAsia="仿宋_GB2312" w:cs="仿宋_GB2312"/>
          <w:color w:val="auto"/>
          <w:sz w:val="32"/>
          <w:szCs w:val="32"/>
          <w:highlight w:val="none"/>
        </w:rPr>
        <w:t>十三、</w:t>
      </w:r>
      <w:bookmarkEnd w:id="69"/>
      <w:r>
        <w:rPr>
          <w:rFonts w:hint="eastAsia" w:ascii="Times New Roman" w:hAnsi="Times New Roman" w:eastAsia="仿宋_GB2312" w:cs="仿宋_GB2312"/>
          <w:color w:val="auto"/>
          <w:sz w:val="32"/>
          <w:szCs w:val="32"/>
          <w:highlight w:val="none"/>
          <w:lang w:eastAsia="zh-CN"/>
        </w:rPr>
        <w:t>财政拨款“三公”经费支出决算表</w:t>
      </w:r>
    </w:p>
    <w:p w14:paraId="2A88F735">
      <w:pPr>
        <w:rPr>
          <w:rFonts w:hint="eastAsia" w:ascii="Times New Roman" w:hAnsi="Times New Roman"/>
          <w:lang w:eastAsia="zh-CN"/>
        </w:rPr>
      </w:pPr>
    </w:p>
    <w:sectPr>
      <w:type w:val="continuous"/>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
    <w:altName w:val="Segoe Print"/>
    <w:panose1 w:val="00000000000000000000"/>
    <w:charset w:val="00"/>
    <w:family w:val="roman"/>
    <w:pitch w:val="default"/>
    <w:sig w:usb0="00000000" w:usb1="00000000" w:usb2="00000000" w:usb3="00000000" w:csb0="00000000" w:csb1="00000000"/>
  </w:font>
  <w:font w:name="方正小标宋简体">
    <w:panose1 w:val="02010601030101010101"/>
    <w:charset w:val="86"/>
    <w:family w:val="script"/>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A31FB3">
    <w:pPr>
      <w:pStyle w:val="10"/>
      <w:jc w:val="center"/>
    </w:pPr>
  </w:p>
  <w:p w14:paraId="36848A08">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7E9487">
    <w:pPr>
      <w:pStyle w:val="10"/>
      <w:jc w:val="center"/>
    </w:pPr>
  </w:p>
  <w:p w14:paraId="7D6D897B">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06283C">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0FDABF">
    <w:pPr>
      <w:pStyle w:val="10"/>
      <w:jc w:val="center"/>
    </w:pPr>
  </w:p>
  <w:p w14:paraId="15CD01EB">
    <w:pPr>
      <w:pStyle w:val="1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5009C2">
    <w:pPr>
      <w:pStyle w:val="1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4304A5">
    <w:pPr>
      <w:pStyle w:val="1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inside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EC3FC6">
                          <w:pPr>
                            <w:pStyle w:val="10"/>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- 2 -</w:t>
                          </w:r>
                          <w:r>
                            <w:rPr>
                              <w:rFonts w:hint="default" w:ascii="Times New Roman" w:hAnsi="Times New Roman" w:cs="Times New Roman"/>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54EC3FC6">
                    <w:pPr>
                      <w:pStyle w:val="10"/>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- 2 -</w:t>
                    </w:r>
                    <w:r>
                      <w:rPr>
                        <w:rFonts w:hint="default" w:ascii="Times New Roman" w:hAnsi="Times New Roman" w:cs="Times New Roman"/>
                        <w:sz w:val="28"/>
                        <w:szCs w:val="28"/>
                      </w:rPr>
                      <w:fldChar w:fldCharType="end"/>
                    </w:r>
                  </w:p>
                </w:txbxContent>
              </v:textbox>
            </v:shape>
          </w:pict>
        </mc:Fallback>
      </mc:AlternateContent>
    </w:r>
  </w:p>
  <w:p w14:paraId="6CADF0D2">
    <w:pPr>
      <w:pStyle w:val="1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2C3C24">
    <w:pPr>
      <w:pStyle w:val="10"/>
      <w:rPr>
        <w:rFonts w:hint="default" w:ascii="Times New Roman" w:hAnsi="Times New Roman" w:eastAsia="宋体" w:cs="Times New Roman"/>
        <w:kern w:val="2"/>
        <w:sz w:val="28"/>
        <w:szCs w:val="28"/>
      </w:rPr>
    </w:pPr>
    <w:r>
      <w:rPr>
        <w:rFonts w:hint="default" w:ascii="Times New Roman" w:hAnsi="Times New Roman" w:eastAsia="宋体" w:cs="Times New Roman"/>
        <w:kern w:val="2"/>
        <w:sz w:val="28"/>
        <w:szCs w:val="28"/>
      </w:rPr>
      <mc:AlternateContent>
        <mc:Choice Requires="wps">
          <w:drawing>
            <wp:anchor distT="0" distB="0" distL="114300" distR="114300" simplePos="0" relativeHeight="251661312" behindDoc="0" locked="0" layoutInCell="1" allowOverlap="1">
              <wp:simplePos x="0" y="0"/>
              <wp:positionH relativeFrom="margin">
                <wp:align>inside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2CAB9E">
                          <w:pPr>
                            <w:pStyle w:val="10"/>
                          </w:pPr>
                          <w:r>
                            <w:rPr>
                              <w:rFonts w:hint="default" w:ascii="Times New Roman" w:hAnsi="Times New Roman" w:eastAsia="宋体" w:cs="Times New Roman"/>
                              <w:kern w:val="2"/>
                              <w:sz w:val="28"/>
                              <w:szCs w:val="28"/>
                            </w:rPr>
                            <w:fldChar w:fldCharType="begin"/>
                          </w:r>
                          <w:r>
                            <w:rPr>
                              <w:rFonts w:hint="default" w:ascii="Times New Roman" w:hAnsi="Times New Roman" w:eastAsia="宋体" w:cs="Times New Roman"/>
                              <w:kern w:val="2"/>
                              <w:sz w:val="28"/>
                              <w:szCs w:val="28"/>
                            </w:rPr>
                            <w:instrText xml:space="preserve"> PAGE  \* MERGEFORMAT </w:instrText>
                          </w:r>
                          <w:r>
                            <w:rPr>
                              <w:rFonts w:hint="default" w:ascii="Times New Roman" w:hAnsi="Times New Roman" w:eastAsia="宋体" w:cs="Times New Roman"/>
                              <w:kern w:val="2"/>
                              <w:sz w:val="28"/>
                              <w:szCs w:val="28"/>
                            </w:rPr>
                            <w:fldChar w:fldCharType="separate"/>
                          </w:r>
                          <w:r>
                            <w:rPr>
                              <w:rFonts w:hint="default" w:ascii="Times New Roman" w:hAnsi="Times New Roman" w:eastAsia="宋体" w:cs="Times New Roman"/>
                              <w:kern w:val="2"/>
                              <w:sz w:val="28"/>
                              <w:szCs w:val="28"/>
                            </w:rPr>
                            <w:t>- 1 -</w:t>
                          </w:r>
                          <w:r>
                            <w:rPr>
                              <w:rFonts w:hint="default" w:ascii="Times New Roman" w:hAnsi="Times New Roman" w:eastAsia="宋体" w:cs="Times New Roman"/>
                              <w:kern w:val="2"/>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242CAB9E">
                    <w:pPr>
                      <w:pStyle w:val="10"/>
                    </w:pPr>
                    <w:r>
                      <w:rPr>
                        <w:rFonts w:hint="default" w:ascii="Times New Roman" w:hAnsi="Times New Roman" w:eastAsia="宋体" w:cs="Times New Roman"/>
                        <w:kern w:val="2"/>
                        <w:sz w:val="28"/>
                        <w:szCs w:val="28"/>
                      </w:rPr>
                      <w:fldChar w:fldCharType="begin"/>
                    </w:r>
                    <w:r>
                      <w:rPr>
                        <w:rFonts w:hint="default" w:ascii="Times New Roman" w:hAnsi="Times New Roman" w:eastAsia="宋体" w:cs="Times New Roman"/>
                        <w:kern w:val="2"/>
                        <w:sz w:val="28"/>
                        <w:szCs w:val="28"/>
                      </w:rPr>
                      <w:instrText xml:space="preserve"> PAGE  \* MERGEFORMAT </w:instrText>
                    </w:r>
                    <w:r>
                      <w:rPr>
                        <w:rFonts w:hint="default" w:ascii="Times New Roman" w:hAnsi="Times New Roman" w:eastAsia="宋体" w:cs="Times New Roman"/>
                        <w:kern w:val="2"/>
                        <w:sz w:val="28"/>
                        <w:szCs w:val="28"/>
                      </w:rPr>
                      <w:fldChar w:fldCharType="separate"/>
                    </w:r>
                    <w:r>
                      <w:rPr>
                        <w:rFonts w:hint="default" w:ascii="Times New Roman" w:hAnsi="Times New Roman" w:eastAsia="宋体" w:cs="Times New Roman"/>
                        <w:kern w:val="2"/>
                        <w:sz w:val="28"/>
                        <w:szCs w:val="28"/>
                      </w:rPr>
                      <w:t>- 1 -</w:t>
                    </w:r>
                    <w:r>
                      <w:rPr>
                        <w:rFonts w:hint="default" w:ascii="Times New Roman" w:hAnsi="Times New Roman" w:eastAsia="宋体" w:cs="Times New Roman"/>
                        <w:kern w:val="2"/>
                        <w:sz w:val="28"/>
                        <w:szCs w:val="2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7B7D6F">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8C406C">
    <w:pPr>
      <w:pStyle w:val="11"/>
      <w:pBdr>
        <w:bottom w:val="none" w:color="auto" w:sz="0" w:space="1"/>
      </w:pBdr>
      <w:tabs>
        <w:tab w:val="left" w:pos="6976"/>
      </w:tabs>
      <w:jc w:val="left"/>
      <w:rPr>
        <w:rFonts w:hint="eastAsia" w:eastAsia="宋体"/>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7C99F5"/>
    <w:multiLevelType w:val="singleLevel"/>
    <w:tmpl w:val="8B7C99F5"/>
    <w:lvl w:ilvl="0" w:tentative="0">
      <w:start w:val="1"/>
      <w:numFmt w:val="chineseCounting"/>
      <w:suff w:val="nothing"/>
      <w:lvlText w:val="%1、"/>
      <w:lvlJc w:val="left"/>
      <w:rPr>
        <w:rFonts w:hint="eastAsia"/>
      </w:rPr>
    </w:lvl>
  </w:abstractNum>
  <w:abstractNum w:abstractNumId="1">
    <w:nsid w:val="F7D1E4D7"/>
    <w:multiLevelType w:val="singleLevel"/>
    <w:tmpl w:val="F7D1E4D7"/>
    <w:lvl w:ilvl="0" w:tentative="0">
      <w:start w:val="2"/>
      <w:numFmt w:val="chineseCounting"/>
      <w:suff w:val="nothing"/>
      <w:lvlText w:val="（%1）"/>
      <w:lvlJc w:val="left"/>
      <w:rPr>
        <w:rFonts w:hint="eastAsia"/>
      </w:rPr>
    </w:lvl>
  </w:abstractNum>
  <w:abstractNum w:abstractNumId="2">
    <w:nsid w:val="03D9F9B4"/>
    <w:multiLevelType w:val="singleLevel"/>
    <w:tmpl w:val="03D9F9B4"/>
    <w:lvl w:ilvl="0" w:tentative="0">
      <w:start w:val="2"/>
      <w:numFmt w:val="chineseCounting"/>
      <w:suff w:val="nothing"/>
      <w:lvlText w:val="（%1）"/>
      <w:lvlJc w:val="left"/>
      <w:rPr>
        <w:rFonts w:hint="eastAsia"/>
      </w:rPr>
    </w:lvl>
  </w:abstractNum>
  <w:abstractNum w:abstractNumId="3">
    <w:nsid w:val="135F51F1"/>
    <w:multiLevelType w:val="singleLevel"/>
    <w:tmpl w:val="135F51F1"/>
    <w:lvl w:ilvl="0" w:tentative="0">
      <w:start w:val="2"/>
      <w:numFmt w:val="chineseCounting"/>
      <w:suff w:val="nothing"/>
      <w:lvlText w:val="（%1）"/>
      <w:lvlJc w:val="left"/>
      <w:rPr>
        <w:rFonts w:hint="eastAsia"/>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IxOTgyNjhlZjBhY2Y1ZDE1OGUwMjNiOGE3ZTFmNzMifQ=="/>
  </w:docVars>
  <w:rsids>
    <w:rsidRoot w:val="00172A27"/>
    <w:rsid w:val="000222C6"/>
    <w:rsid w:val="0002549F"/>
    <w:rsid w:val="000468DB"/>
    <w:rsid w:val="0006487A"/>
    <w:rsid w:val="00065F8F"/>
    <w:rsid w:val="00070A43"/>
    <w:rsid w:val="000768F2"/>
    <w:rsid w:val="0009184B"/>
    <w:rsid w:val="00094236"/>
    <w:rsid w:val="0009593C"/>
    <w:rsid w:val="00097322"/>
    <w:rsid w:val="000A6A92"/>
    <w:rsid w:val="000B047F"/>
    <w:rsid w:val="000B5923"/>
    <w:rsid w:val="000B5A48"/>
    <w:rsid w:val="000B6FF3"/>
    <w:rsid w:val="000C3467"/>
    <w:rsid w:val="000C3CA6"/>
    <w:rsid w:val="000D1267"/>
    <w:rsid w:val="000D1D50"/>
    <w:rsid w:val="000D5782"/>
    <w:rsid w:val="000E6613"/>
    <w:rsid w:val="000E7119"/>
    <w:rsid w:val="00114E9B"/>
    <w:rsid w:val="00142216"/>
    <w:rsid w:val="00144D6A"/>
    <w:rsid w:val="0014729F"/>
    <w:rsid w:val="00157BAB"/>
    <w:rsid w:val="001654D1"/>
    <w:rsid w:val="00174518"/>
    <w:rsid w:val="0018106D"/>
    <w:rsid w:val="001877A7"/>
    <w:rsid w:val="00191536"/>
    <w:rsid w:val="00196687"/>
    <w:rsid w:val="001C0962"/>
    <w:rsid w:val="001D7531"/>
    <w:rsid w:val="001E737D"/>
    <w:rsid w:val="001F0592"/>
    <w:rsid w:val="001F7506"/>
    <w:rsid w:val="002006CD"/>
    <w:rsid w:val="00202B36"/>
    <w:rsid w:val="00204B7A"/>
    <w:rsid w:val="00204CDE"/>
    <w:rsid w:val="0021101A"/>
    <w:rsid w:val="00220536"/>
    <w:rsid w:val="00235629"/>
    <w:rsid w:val="00260C38"/>
    <w:rsid w:val="002616C0"/>
    <w:rsid w:val="00265372"/>
    <w:rsid w:val="002662AA"/>
    <w:rsid w:val="00280496"/>
    <w:rsid w:val="00294DC9"/>
    <w:rsid w:val="00295495"/>
    <w:rsid w:val="002A31DE"/>
    <w:rsid w:val="002B2613"/>
    <w:rsid w:val="002D6D05"/>
    <w:rsid w:val="002F1818"/>
    <w:rsid w:val="002F567B"/>
    <w:rsid w:val="003216A9"/>
    <w:rsid w:val="00335A74"/>
    <w:rsid w:val="0036561B"/>
    <w:rsid w:val="0037013F"/>
    <w:rsid w:val="00380C92"/>
    <w:rsid w:val="003A484F"/>
    <w:rsid w:val="003A4883"/>
    <w:rsid w:val="003B0BE0"/>
    <w:rsid w:val="003B0C1B"/>
    <w:rsid w:val="003B688C"/>
    <w:rsid w:val="003C0291"/>
    <w:rsid w:val="003C39AE"/>
    <w:rsid w:val="003C7B60"/>
    <w:rsid w:val="003D0C0F"/>
    <w:rsid w:val="003D1FB2"/>
    <w:rsid w:val="003D66DA"/>
    <w:rsid w:val="003E1310"/>
    <w:rsid w:val="003E6F55"/>
    <w:rsid w:val="00406254"/>
    <w:rsid w:val="004223DE"/>
    <w:rsid w:val="00434489"/>
    <w:rsid w:val="00437085"/>
    <w:rsid w:val="00443880"/>
    <w:rsid w:val="004464F4"/>
    <w:rsid w:val="00471401"/>
    <w:rsid w:val="00473F31"/>
    <w:rsid w:val="0048263A"/>
    <w:rsid w:val="00487E5D"/>
    <w:rsid w:val="004A711F"/>
    <w:rsid w:val="004B199D"/>
    <w:rsid w:val="004B4690"/>
    <w:rsid w:val="004E0A2D"/>
    <w:rsid w:val="004E206B"/>
    <w:rsid w:val="004E6DF7"/>
    <w:rsid w:val="004F0FBD"/>
    <w:rsid w:val="00505A47"/>
    <w:rsid w:val="00512FDA"/>
    <w:rsid w:val="00520DA0"/>
    <w:rsid w:val="005664BB"/>
    <w:rsid w:val="00566FFA"/>
    <w:rsid w:val="0057481D"/>
    <w:rsid w:val="0058486E"/>
    <w:rsid w:val="00585B33"/>
    <w:rsid w:val="0059014D"/>
    <w:rsid w:val="005B5C64"/>
    <w:rsid w:val="005C5337"/>
    <w:rsid w:val="005C6BD0"/>
    <w:rsid w:val="005D1C8B"/>
    <w:rsid w:val="005D468D"/>
    <w:rsid w:val="005D5CED"/>
    <w:rsid w:val="005F1A4C"/>
    <w:rsid w:val="00605688"/>
    <w:rsid w:val="006070AF"/>
    <w:rsid w:val="00607E6C"/>
    <w:rsid w:val="006101B1"/>
    <w:rsid w:val="00614E44"/>
    <w:rsid w:val="0062270A"/>
    <w:rsid w:val="00622830"/>
    <w:rsid w:val="00623DA0"/>
    <w:rsid w:val="00630AEF"/>
    <w:rsid w:val="006325F8"/>
    <w:rsid w:val="00633463"/>
    <w:rsid w:val="00634C9A"/>
    <w:rsid w:val="006440E4"/>
    <w:rsid w:val="0066343B"/>
    <w:rsid w:val="00664777"/>
    <w:rsid w:val="006748A4"/>
    <w:rsid w:val="00681A31"/>
    <w:rsid w:val="00683E73"/>
    <w:rsid w:val="006A3141"/>
    <w:rsid w:val="006A5E34"/>
    <w:rsid w:val="006B2422"/>
    <w:rsid w:val="006B2B9A"/>
    <w:rsid w:val="006C1937"/>
    <w:rsid w:val="006F020C"/>
    <w:rsid w:val="007127B7"/>
    <w:rsid w:val="0071798E"/>
    <w:rsid w:val="007416B6"/>
    <w:rsid w:val="00746F48"/>
    <w:rsid w:val="0075404D"/>
    <w:rsid w:val="0076182A"/>
    <w:rsid w:val="00767B7E"/>
    <w:rsid w:val="007770C3"/>
    <w:rsid w:val="00784D24"/>
    <w:rsid w:val="00785FBA"/>
    <w:rsid w:val="00786E4A"/>
    <w:rsid w:val="007875EB"/>
    <w:rsid w:val="0079426B"/>
    <w:rsid w:val="007D1682"/>
    <w:rsid w:val="007D312A"/>
    <w:rsid w:val="007D3F19"/>
    <w:rsid w:val="007E23B0"/>
    <w:rsid w:val="007E23E5"/>
    <w:rsid w:val="007F1991"/>
    <w:rsid w:val="007F2C2F"/>
    <w:rsid w:val="007F55FC"/>
    <w:rsid w:val="007F5665"/>
    <w:rsid w:val="00800112"/>
    <w:rsid w:val="00813348"/>
    <w:rsid w:val="008253BB"/>
    <w:rsid w:val="0083706E"/>
    <w:rsid w:val="008408F6"/>
    <w:rsid w:val="008423A5"/>
    <w:rsid w:val="00850625"/>
    <w:rsid w:val="00853718"/>
    <w:rsid w:val="00855221"/>
    <w:rsid w:val="00860645"/>
    <w:rsid w:val="00871F71"/>
    <w:rsid w:val="00872FD8"/>
    <w:rsid w:val="00885AF4"/>
    <w:rsid w:val="008939CD"/>
    <w:rsid w:val="008B768C"/>
    <w:rsid w:val="008C4DB1"/>
    <w:rsid w:val="008C4EAF"/>
    <w:rsid w:val="008C5176"/>
    <w:rsid w:val="008C7FD0"/>
    <w:rsid w:val="008E1DE7"/>
    <w:rsid w:val="008E707C"/>
    <w:rsid w:val="00900B08"/>
    <w:rsid w:val="00902155"/>
    <w:rsid w:val="00902FA3"/>
    <w:rsid w:val="00923564"/>
    <w:rsid w:val="0092392E"/>
    <w:rsid w:val="009315F9"/>
    <w:rsid w:val="00933499"/>
    <w:rsid w:val="00935C98"/>
    <w:rsid w:val="00946945"/>
    <w:rsid w:val="00951248"/>
    <w:rsid w:val="0095152F"/>
    <w:rsid w:val="00954C49"/>
    <w:rsid w:val="00955E37"/>
    <w:rsid w:val="0097099F"/>
    <w:rsid w:val="00971997"/>
    <w:rsid w:val="00971FFC"/>
    <w:rsid w:val="0098660A"/>
    <w:rsid w:val="009931C3"/>
    <w:rsid w:val="009B2C43"/>
    <w:rsid w:val="009B4EAE"/>
    <w:rsid w:val="009B7573"/>
    <w:rsid w:val="009C22F4"/>
    <w:rsid w:val="009C2A4B"/>
    <w:rsid w:val="009C2E98"/>
    <w:rsid w:val="009D3447"/>
    <w:rsid w:val="009D4711"/>
    <w:rsid w:val="009F1185"/>
    <w:rsid w:val="009F18CD"/>
    <w:rsid w:val="009F2A13"/>
    <w:rsid w:val="009F7527"/>
    <w:rsid w:val="00A04EB0"/>
    <w:rsid w:val="00A13CC1"/>
    <w:rsid w:val="00A16847"/>
    <w:rsid w:val="00A237D8"/>
    <w:rsid w:val="00A268C4"/>
    <w:rsid w:val="00A307CD"/>
    <w:rsid w:val="00A331C8"/>
    <w:rsid w:val="00A40A00"/>
    <w:rsid w:val="00A4142F"/>
    <w:rsid w:val="00A422EB"/>
    <w:rsid w:val="00A45BB7"/>
    <w:rsid w:val="00A56DF2"/>
    <w:rsid w:val="00A56E6E"/>
    <w:rsid w:val="00A67AB5"/>
    <w:rsid w:val="00A733B2"/>
    <w:rsid w:val="00A741C2"/>
    <w:rsid w:val="00A91760"/>
    <w:rsid w:val="00A93B00"/>
    <w:rsid w:val="00A93C21"/>
    <w:rsid w:val="00AB64C9"/>
    <w:rsid w:val="00AC3C6A"/>
    <w:rsid w:val="00AD095D"/>
    <w:rsid w:val="00AD5620"/>
    <w:rsid w:val="00AD656B"/>
    <w:rsid w:val="00AD7C1B"/>
    <w:rsid w:val="00AE16BA"/>
    <w:rsid w:val="00AE1EBE"/>
    <w:rsid w:val="00B03C9D"/>
    <w:rsid w:val="00B060AE"/>
    <w:rsid w:val="00B10517"/>
    <w:rsid w:val="00B14E76"/>
    <w:rsid w:val="00B161B8"/>
    <w:rsid w:val="00B2048C"/>
    <w:rsid w:val="00B310B9"/>
    <w:rsid w:val="00B35F3F"/>
    <w:rsid w:val="00B36CBB"/>
    <w:rsid w:val="00B425E0"/>
    <w:rsid w:val="00B440AA"/>
    <w:rsid w:val="00B44B70"/>
    <w:rsid w:val="00B53C56"/>
    <w:rsid w:val="00B57DAF"/>
    <w:rsid w:val="00B77EA6"/>
    <w:rsid w:val="00B81598"/>
    <w:rsid w:val="00B841F1"/>
    <w:rsid w:val="00B944D6"/>
    <w:rsid w:val="00BB4DF0"/>
    <w:rsid w:val="00BC289F"/>
    <w:rsid w:val="00BC2D50"/>
    <w:rsid w:val="00BC5361"/>
    <w:rsid w:val="00BC5460"/>
    <w:rsid w:val="00BC6B50"/>
    <w:rsid w:val="00BD0E25"/>
    <w:rsid w:val="00BF5BD6"/>
    <w:rsid w:val="00C03E31"/>
    <w:rsid w:val="00C33E72"/>
    <w:rsid w:val="00C354B2"/>
    <w:rsid w:val="00C35554"/>
    <w:rsid w:val="00C42709"/>
    <w:rsid w:val="00C533CC"/>
    <w:rsid w:val="00C5751C"/>
    <w:rsid w:val="00C61BFC"/>
    <w:rsid w:val="00C62B85"/>
    <w:rsid w:val="00C65438"/>
    <w:rsid w:val="00C87FD8"/>
    <w:rsid w:val="00C91381"/>
    <w:rsid w:val="00C91CBB"/>
    <w:rsid w:val="00CB4E70"/>
    <w:rsid w:val="00CC09B6"/>
    <w:rsid w:val="00CC666F"/>
    <w:rsid w:val="00CD1E3F"/>
    <w:rsid w:val="00CE44F6"/>
    <w:rsid w:val="00CE49DA"/>
    <w:rsid w:val="00CE7B61"/>
    <w:rsid w:val="00D00095"/>
    <w:rsid w:val="00D114F0"/>
    <w:rsid w:val="00D20620"/>
    <w:rsid w:val="00D254F7"/>
    <w:rsid w:val="00D26091"/>
    <w:rsid w:val="00D2685C"/>
    <w:rsid w:val="00D34E7C"/>
    <w:rsid w:val="00D35489"/>
    <w:rsid w:val="00D36AFE"/>
    <w:rsid w:val="00D51276"/>
    <w:rsid w:val="00D7035F"/>
    <w:rsid w:val="00D72607"/>
    <w:rsid w:val="00DA634F"/>
    <w:rsid w:val="00DA65AC"/>
    <w:rsid w:val="00DB1913"/>
    <w:rsid w:val="00DC410D"/>
    <w:rsid w:val="00DC5A81"/>
    <w:rsid w:val="00DC68CA"/>
    <w:rsid w:val="00DC7CBA"/>
    <w:rsid w:val="00DD73B7"/>
    <w:rsid w:val="00DF28BC"/>
    <w:rsid w:val="00DF34B9"/>
    <w:rsid w:val="00E01053"/>
    <w:rsid w:val="00E07ACF"/>
    <w:rsid w:val="00E331A1"/>
    <w:rsid w:val="00E33202"/>
    <w:rsid w:val="00E336A9"/>
    <w:rsid w:val="00E472B1"/>
    <w:rsid w:val="00E50624"/>
    <w:rsid w:val="00E54633"/>
    <w:rsid w:val="00E568DF"/>
    <w:rsid w:val="00E64269"/>
    <w:rsid w:val="00E82267"/>
    <w:rsid w:val="00E853CE"/>
    <w:rsid w:val="00E867B6"/>
    <w:rsid w:val="00EA010F"/>
    <w:rsid w:val="00ED1B63"/>
    <w:rsid w:val="00ED3C1F"/>
    <w:rsid w:val="00ED4085"/>
    <w:rsid w:val="00ED420E"/>
    <w:rsid w:val="00ED6FBE"/>
    <w:rsid w:val="00EE2F57"/>
    <w:rsid w:val="00EF4C34"/>
    <w:rsid w:val="00EF77C6"/>
    <w:rsid w:val="00F05438"/>
    <w:rsid w:val="00F1361C"/>
    <w:rsid w:val="00F156F0"/>
    <w:rsid w:val="00F160C7"/>
    <w:rsid w:val="00F2408F"/>
    <w:rsid w:val="00F240E9"/>
    <w:rsid w:val="00F36D8F"/>
    <w:rsid w:val="00F417B1"/>
    <w:rsid w:val="00F45853"/>
    <w:rsid w:val="00F602DF"/>
    <w:rsid w:val="00F754A1"/>
    <w:rsid w:val="00F81FD9"/>
    <w:rsid w:val="00F841AA"/>
    <w:rsid w:val="00F84A94"/>
    <w:rsid w:val="00F87E96"/>
    <w:rsid w:val="00FA23E8"/>
    <w:rsid w:val="00FD3CC1"/>
    <w:rsid w:val="00FF1E02"/>
    <w:rsid w:val="00FF30B4"/>
    <w:rsid w:val="012A5EC2"/>
    <w:rsid w:val="015975B8"/>
    <w:rsid w:val="021332F5"/>
    <w:rsid w:val="02332322"/>
    <w:rsid w:val="024E4B4B"/>
    <w:rsid w:val="028F0E5E"/>
    <w:rsid w:val="02F92D08"/>
    <w:rsid w:val="02FEBE30"/>
    <w:rsid w:val="03070E91"/>
    <w:rsid w:val="03885E3A"/>
    <w:rsid w:val="04904B2C"/>
    <w:rsid w:val="04916F1E"/>
    <w:rsid w:val="05533E97"/>
    <w:rsid w:val="059F3847"/>
    <w:rsid w:val="05BF5D55"/>
    <w:rsid w:val="061E35DE"/>
    <w:rsid w:val="0650327B"/>
    <w:rsid w:val="066E0107"/>
    <w:rsid w:val="07996F6E"/>
    <w:rsid w:val="07DFD8BA"/>
    <w:rsid w:val="07F9021D"/>
    <w:rsid w:val="085F7B47"/>
    <w:rsid w:val="08BB229D"/>
    <w:rsid w:val="08D538D0"/>
    <w:rsid w:val="095F6415"/>
    <w:rsid w:val="09821693"/>
    <w:rsid w:val="09867E8F"/>
    <w:rsid w:val="09954E0D"/>
    <w:rsid w:val="0A2032A3"/>
    <w:rsid w:val="0B261650"/>
    <w:rsid w:val="0B5D4FB1"/>
    <w:rsid w:val="0C03123A"/>
    <w:rsid w:val="0C7440AF"/>
    <w:rsid w:val="0CA8290A"/>
    <w:rsid w:val="0D35B1ED"/>
    <w:rsid w:val="0E254B6B"/>
    <w:rsid w:val="0EE14CE9"/>
    <w:rsid w:val="0F98263C"/>
    <w:rsid w:val="0FDA17CC"/>
    <w:rsid w:val="101860EC"/>
    <w:rsid w:val="101F47CC"/>
    <w:rsid w:val="10761147"/>
    <w:rsid w:val="1077438C"/>
    <w:rsid w:val="10C055FF"/>
    <w:rsid w:val="112B4027"/>
    <w:rsid w:val="11694EBD"/>
    <w:rsid w:val="11772AA4"/>
    <w:rsid w:val="117A3DC9"/>
    <w:rsid w:val="118107EC"/>
    <w:rsid w:val="12930507"/>
    <w:rsid w:val="12DA15FD"/>
    <w:rsid w:val="12E24EE2"/>
    <w:rsid w:val="135D5EA2"/>
    <w:rsid w:val="136F66CF"/>
    <w:rsid w:val="13D50BC4"/>
    <w:rsid w:val="14B17F78"/>
    <w:rsid w:val="15C119DB"/>
    <w:rsid w:val="16223ECC"/>
    <w:rsid w:val="165E0673"/>
    <w:rsid w:val="166A1689"/>
    <w:rsid w:val="16B831D5"/>
    <w:rsid w:val="16BB723D"/>
    <w:rsid w:val="16D73273"/>
    <w:rsid w:val="17591043"/>
    <w:rsid w:val="17E50567"/>
    <w:rsid w:val="18094488"/>
    <w:rsid w:val="186504BB"/>
    <w:rsid w:val="186F79AF"/>
    <w:rsid w:val="18926C1F"/>
    <w:rsid w:val="19912D75"/>
    <w:rsid w:val="19A445FC"/>
    <w:rsid w:val="1B0057E4"/>
    <w:rsid w:val="1B544B28"/>
    <w:rsid w:val="1B6805D3"/>
    <w:rsid w:val="1BA03AC9"/>
    <w:rsid w:val="1BE8440E"/>
    <w:rsid w:val="1C9406D5"/>
    <w:rsid w:val="1CC6347C"/>
    <w:rsid w:val="1D155CEE"/>
    <w:rsid w:val="1D1638FE"/>
    <w:rsid w:val="1D274763"/>
    <w:rsid w:val="1D6A7F54"/>
    <w:rsid w:val="1D864D41"/>
    <w:rsid w:val="1DA0359C"/>
    <w:rsid w:val="1DD111DB"/>
    <w:rsid w:val="1E312DEB"/>
    <w:rsid w:val="1E740ACF"/>
    <w:rsid w:val="1EA638ED"/>
    <w:rsid w:val="1F7915EB"/>
    <w:rsid w:val="1F935587"/>
    <w:rsid w:val="1F980D5B"/>
    <w:rsid w:val="1FF35744"/>
    <w:rsid w:val="1FF6BC77"/>
    <w:rsid w:val="208F1DD6"/>
    <w:rsid w:val="2186353C"/>
    <w:rsid w:val="22F25FD4"/>
    <w:rsid w:val="23860B96"/>
    <w:rsid w:val="240371BF"/>
    <w:rsid w:val="244F3473"/>
    <w:rsid w:val="24B30C15"/>
    <w:rsid w:val="24C97D99"/>
    <w:rsid w:val="25A718F0"/>
    <w:rsid w:val="25BB59F6"/>
    <w:rsid w:val="260130F4"/>
    <w:rsid w:val="260F557C"/>
    <w:rsid w:val="26970054"/>
    <w:rsid w:val="26B03985"/>
    <w:rsid w:val="27B66AB6"/>
    <w:rsid w:val="27C16233"/>
    <w:rsid w:val="27DB5A81"/>
    <w:rsid w:val="27F56FFF"/>
    <w:rsid w:val="27FB2FDC"/>
    <w:rsid w:val="281408E2"/>
    <w:rsid w:val="28321D4D"/>
    <w:rsid w:val="29325346"/>
    <w:rsid w:val="29606AF1"/>
    <w:rsid w:val="29FD04D3"/>
    <w:rsid w:val="2A9E34CC"/>
    <w:rsid w:val="2AE25CC3"/>
    <w:rsid w:val="2BFF7BC6"/>
    <w:rsid w:val="2C2A4AA2"/>
    <w:rsid w:val="2C2D7BBC"/>
    <w:rsid w:val="2C340C6F"/>
    <w:rsid w:val="2C642803"/>
    <w:rsid w:val="2C8A61B5"/>
    <w:rsid w:val="2DAC5DFC"/>
    <w:rsid w:val="2DCE35C5"/>
    <w:rsid w:val="2DD35D80"/>
    <w:rsid w:val="2DF04E50"/>
    <w:rsid w:val="2E3E78E9"/>
    <w:rsid w:val="2E586DFA"/>
    <w:rsid w:val="2E6412EA"/>
    <w:rsid w:val="2E6611AB"/>
    <w:rsid w:val="2E7C4358"/>
    <w:rsid w:val="2EC50044"/>
    <w:rsid w:val="2EC830D0"/>
    <w:rsid w:val="2EDA313F"/>
    <w:rsid w:val="2F040D46"/>
    <w:rsid w:val="2F6B035B"/>
    <w:rsid w:val="2FAE5751"/>
    <w:rsid w:val="2FB1A395"/>
    <w:rsid w:val="2FD9A7D8"/>
    <w:rsid w:val="2FDBF714"/>
    <w:rsid w:val="2FE5304B"/>
    <w:rsid w:val="2FEE3100"/>
    <w:rsid w:val="30AB6865"/>
    <w:rsid w:val="30BA5A7F"/>
    <w:rsid w:val="319F7F4E"/>
    <w:rsid w:val="32BD1EF1"/>
    <w:rsid w:val="3304709D"/>
    <w:rsid w:val="332F5E35"/>
    <w:rsid w:val="33A773CB"/>
    <w:rsid w:val="33A930DF"/>
    <w:rsid w:val="346B0D47"/>
    <w:rsid w:val="349D6851"/>
    <w:rsid w:val="36AA5135"/>
    <w:rsid w:val="36BE0DA7"/>
    <w:rsid w:val="36F80950"/>
    <w:rsid w:val="37393EDA"/>
    <w:rsid w:val="376B6AA6"/>
    <w:rsid w:val="376D39B2"/>
    <w:rsid w:val="37DA7D0B"/>
    <w:rsid w:val="37E16F03"/>
    <w:rsid w:val="37F53A3B"/>
    <w:rsid w:val="380E3E07"/>
    <w:rsid w:val="389B6C89"/>
    <w:rsid w:val="38D469F0"/>
    <w:rsid w:val="390B0AC4"/>
    <w:rsid w:val="39260A95"/>
    <w:rsid w:val="39627CCD"/>
    <w:rsid w:val="396D0562"/>
    <w:rsid w:val="397BAF1F"/>
    <w:rsid w:val="397F27A4"/>
    <w:rsid w:val="39AD28EF"/>
    <w:rsid w:val="39AD3929"/>
    <w:rsid w:val="3AB79AF3"/>
    <w:rsid w:val="3AE834C0"/>
    <w:rsid w:val="3B1B01D6"/>
    <w:rsid w:val="3B7EF35A"/>
    <w:rsid w:val="3B86599A"/>
    <w:rsid w:val="3B9FDB6C"/>
    <w:rsid w:val="3BD10818"/>
    <w:rsid w:val="3BF5BC2F"/>
    <w:rsid w:val="3CEBA265"/>
    <w:rsid w:val="3D09356D"/>
    <w:rsid w:val="3D1B6DFC"/>
    <w:rsid w:val="3D9146E5"/>
    <w:rsid w:val="3D98207C"/>
    <w:rsid w:val="3DEE7CF3"/>
    <w:rsid w:val="3E675770"/>
    <w:rsid w:val="3E740A63"/>
    <w:rsid w:val="3E78745D"/>
    <w:rsid w:val="3ED0092C"/>
    <w:rsid w:val="3EE17838"/>
    <w:rsid w:val="3EFF5DDA"/>
    <w:rsid w:val="3F0D09C6"/>
    <w:rsid w:val="3F3D5750"/>
    <w:rsid w:val="3F55381A"/>
    <w:rsid w:val="3F6E5909"/>
    <w:rsid w:val="3F7F7599"/>
    <w:rsid w:val="3F8B5023"/>
    <w:rsid w:val="3FF4CAE0"/>
    <w:rsid w:val="3FF7B227"/>
    <w:rsid w:val="41C07F72"/>
    <w:rsid w:val="41DF121F"/>
    <w:rsid w:val="42E76145"/>
    <w:rsid w:val="42F454E4"/>
    <w:rsid w:val="431B6011"/>
    <w:rsid w:val="4363359A"/>
    <w:rsid w:val="43B757F0"/>
    <w:rsid w:val="43F5747A"/>
    <w:rsid w:val="44273C36"/>
    <w:rsid w:val="442838FD"/>
    <w:rsid w:val="445F1CC4"/>
    <w:rsid w:val="44E268DA"/>
    <w:rsid w:val="450D13D7"/>
    <w:rsid w:val="45506656"/>
    <w:rsid w:val="47F250C5"/>
    <w:rsid w:val="4809498A"/>
    <w:rsid w:val="48577B97"/>
    <w:rsid w:val="486A6C7A"/>
    <w:rsid w:val="48FF7DB7"/>
    <w:rsid w:val="494A2E38"/>
    <w:rsid w:val="49870F95"/>
    <w:rsid w:val="49C40375"/>
    <w:rsid w:val="4A083DA4"/>
    <w:rsid w:val="4A627F82"/>
    <w:rsid w:val="4AB20985"/>
    <w:rsid w:val="4B0E749A"/>
    <w:rsid w:val="4B2477C4"/>
    <w:rsid w:val="4B4F25DA"/>
    <w:rsid w:val="4B67093E"/>
    <w:rsid w:val="4BE068DB"/>
    <w:rsid w:val="4C373527"/>
    <w:rsid w:val="4D2D3522"/>
    <w:rsid w:val="4D577224"/>
    <w:rsid w:val="4D5C5406"/>
    <w:rsid w:val="4D82168D"/>
    <w:rsid w:val="4DBF1CEB"/>
    <w:rsid w:val="4DEF2C94"/>
    <w:rsid w:val="4DF0007C"/>
    <w:rsid w:val="4EAB630A"/>
    <w:rsid w:val="4ECA0360"/>
    <w:rsid w:val="4ECE2238"/>
    <w:rsid w:val="4F833267"/>
    <w:rsid w:val="4FC6073D"/>
    <w:rsid w:val="4FC652ED"/>
    <w:rsid w:val="4FE9BD67"/>
    <w:rsid w:val="4FFB052F"/>
    <w:rsid w:val="501D4A36"/>
    <w:rsid w:val="50C221C5"/>
    <w:rsid w:val="50D771BA"/>
    <w:rsid w:val="50E750E8"/>
    <w:rsid w:val="50F934A0"/>
    <w:rsid w:val="51337FC8"/>
    <w:rsid w:val="514C45E5"/>
    <w:rsid w:val="52E107FE"/>
    <w:rsid w:val="530312CF"/>
    <w:rsid w:val="5321234F"/>
    <w:rsid w:val="537E6D0A"/>
    <w:rsid w:val="53F74C96"/>
    <w:rsid w:val="544027E1"/>
    <w:rsid w:val="550356CA"/>
    <w:rsid w:val="55170BA8"/>
    <w:rsid w:val="553218C9"/>
    <w:rsid w:val="560C77D2"/>
    <w:rsid w:val="566424A2"/>
    <w:rsid w:val="56685052"/>
    <w:rsid w:val="567E1AA5"/>
    <w:rsid w:val="56B83A9F"/>
    <w:rsid w:val="56E47B74"/>
    <w:rsid w:val="57175D52"/>
    <w:rsid w:val="57777FB9"/>
    <w:rsid w:val="57BD3DD4"/>
    <w:rsid w:val="57EF7D4E"/>
    <w:rsid w:val="584119B5"/>
    <w:rsid w:val="588B2C30"/>
    <w:rsid w:val="591744C4"/>
    <w:rsid w:val="59FD3B22"/>
    <w:rsid w:val="5A664EFB"/>
    <w:rsid w:val="5AF92295"/>
    <w:rsid w:val="5B250254"/>
    <w:rsid w:val="5B721E85"/>
    <w:rsid w:val="5B8D4F11"/>
    <w:rsid w:val="5BCD28AA"/>
    <w:rsid w:val="5BDD79E6"/>
    <w:rsid w:val="5BF561CA"/>
    <w:rsid w:val="5BFF5DFC"/>
    <w:rsid w:val="5CD71FC4"/>
    <w:rsid w:val="5D1F11B5"/>
    <w:rsid w:val="5D695134"/>
    <w:rsid w:val="5DAE1B18"/>
    <w:rsid w:val="5DE7D9E5"/>
    <w:rsid w:val="5E605EC5"/>
    <w:rsid w:val="5E7B72A3"/>
    <w:rsid w:val="5E84479E"/>
    <w:rsid w:val="5EB55B71"/>
    <w:rsid w:val="5ECEC941"/>
    <w:rsid w:val="5FBF9FF3"/>
    <w:rsid w:val="5FC209CF"/>
    <w:rsid w:val="5FCD4E2C"/>
    <w:rsid w:val="5FEF394A"/>
    <w:rsid w:val="5FF67715"/>
    <w:rsid w:val="603D3D40"/>
    <w:rsid w:val="604F4E8B"/>
    <w:rsid w:val="61EB3338"/>
    <w:rsid w:val="62BF3928"/>
    <w:rsid w:val="636F2E72"/>
    <w:rsid w:val="637F5A87"/>
    <w:rsid w:val="63B3701E"/>
    <w:rsid w:val="63D8165B"/>
    <w:rsid w:val="63DD630A"/>
    <w:rsid w:val="63F7386F"/>
    <w:rsid w:val="64366551"/>
    <w:rsid w:val="647F5392"/>
    <w:rsid w:val="64CC310D"/>
    <w:rsid w:val="657207CC"/>
    <w:rsid w:val="65E66580"/>
    <w:rsid w:val="664B1D71"/>
    <w:rsid w:val="664B4E8E"/>
    <w:rsid w:val="66584E68"/>
    <w:rsid w:val="66C40DA9"/>
    <w:rsid w:val="67277B67"/>
    <w:rsid w:val="679F6FB3"/>
    <w:rsid w:val="67AA3209"/>
    <w:rsid w:val="67D21DCF"/>
    <w:rsid w:val="696E7976"/>
    <w:rsid w:val="698D0931"/>
    <w:rsid w:val="6A7FE5F3"/>
    <w:rsid w:val="6AC56B21"/>
    <w:rsid w:val="6AE44681"/>
    <w:rsid w:val="6B053271"/>
    <w:rsid w:val="6B0542A1"/>
    <w:rsid w:val="6B0C4237"/>
    <w:rsid w:val="6B46609D"/>
    <w:rsid w:val="6B517D09"/>
    <w:rsid w:val="6B623CC4"/>
    <w:rsid w:val="6BDD78B3"/>
    <w:rsid w:val="6C4A05C8"/>
    <w:rsid w:val="6C521745"/>
    <w:rsid w:val="6C8742B8"/>
    <w:rsid w:val="6CA87DFD"/>
    <w:rsid w:val="6CB57E24"/>
    <w:rsid w:val="6D247BF4"/>
    <w:rsid w:val="6DBF5E93"/>
    <w:rsid w:val="6DFF077E"/>
    <w:rsid w:val="6E714EF0"/>
    <w:rsid w:val="6E7E3605"/>
    <w:rsid w:val="6E7FDCC7"/>
    <w:rsid w:val="6ED6A62E"/>
    <w:rsid w:val="6ED74E66"/>
    <w:rsid w:val="6EE00B15"/>
    <w:rsid w:val="6EF966EE"/>
    <w:rsid w:val="6F6FB3EB"/>
    <w:rsid w:val="6F8731EA"/>
    <w:rsid w:val="6FCE6052"/>
    <w:rsid w:val="6FD57C00"/>
    <w:rsid w:val="6FEFFFD8"/>
    <w:rsid w:val="6FF5CC65"/>
    <w:rsid w:val="6FF64254"/>
    <w:rsid w:val="6FFB47EC"/>
    <w:rsid w:val="6FFF034A"/>
    <w:rsid w:val="70484440"/>
    <w:rsid w:val="708953E8"/>
    <w:rsid w:val="70CD3426"/>
    <w:rsid w:val="712A28F1"/>
    <w:rsid w:val="715C0E4B"/>
    <w:rsid w:val="7169742F"/>
    <w:rsid w:val="71992E7C"/>
    <w:rsid w:val="72233669"/>
    <w:rsid w:val="72347A3D"/>
    <w:rsid w:val="72734D90"/>
    <w:rsid w:val="72CE60E3"/>
    <w:rsid w:val="72DD238D"/>
    <w:rsid w:val="73160E6D"/>
    <w:rsid w:val="7332FE48"/>
    <w:rsid w:val="73836ECE"/>
    <w:rsid w:val="73AB61DA"/>
    <w:rsid w:val="73AD73D5"/>
    <w:rsid w:val="73B6EB34"/>
    <w:rsid w:val="73FA497D"/>
    <w:rsid w:val="744731E5"/>
    <w:rsid w:val="74B03CF2"/>
    <w:rsid w:val="74BBD01D"/>
    <w:rsid w:val="74ED5379"/>
    <w:rsid w:val="75DEEEC2"/>
    <w:rsid w:val="75E32345"/>
    <w:rsid w:val="760A030B"/>
    <w:rsid w:val="76E3355F"/>
    <w:rsid w:val="76FF5125"/>
    <w:rsid w:val="776E1C43"/>
    <w:rsid w:val="776E4C01"/>
    <w:rsid w:val="776F6FFA"/>
    <w:rsid w:val="778769C8"/>
    <w:rsid w:val="77A75DCA"/>
    <w:rsid w:val="77DC22F5"/>
    <w:rsid w:val="783E271A"/>
    <w:rsid w:val="78616DE9"/>
    <w:rsid w:val="78787CD0"/>
    <w:rsid w:val="78941F82"/>
    <w:rsid w:val="78DF15AA"/>
    <w:rsid w:val="78E875D7"/>
    <w:rsid w:val="79086DAD"/>
    <w:rsid w:val="79D7FD79"/>
    <w:rsid w:val="79EE5BA4"/>
    <w:rsid w:val="7A740894"/>
    <w:rsid w:val="7A894339"/>
    <w:rsid w:val="7AC00470"/>
    <w:rsid w:val="7AD284E8"/>
    <w:rsid w:val="7AFF7572"/>
    <w:rsid w:val="7B6C7DFB"/>
    <w:rsid w:val="7BBFBED0"/>
    <w:rsid w:val="7BC3E394"/>
    <w:rsid w:val="7BD60C0C"/>
    <w:rsid w:val="7C1F3737"/>
    <w:rsid w:val="7C2A25DC"/>
    <w:rsid w:val="7C7B3506"/>
    <w:rsid w:val="7CB90614"/>
    <w:rsid w:val="7CBFC87B"/>
    <w:rsid w:val="7CFE0F48"/>
    <w:rsid w:val="7D272ABC"/>
    <w:rsid w:val="7D3F758A"/>
    <w:rsid w:val="7D560556"/>
    <w:rsid w:val="7D7EC23E"/>
    <w:rsid w:val="7D9F4AE2"/>
    <w:rsid w:val="7E221091"/>
    <w:rsid w:val="7E8ADEBF"/>
    <w:rsid w:val="7EE56831"/>
    <w:rsid w:val="7EE81F1F"/>
    <w:rsid w:val="7EEF11D3"/>
    <w:rsid w:val="7EFE4840"/>
    <w:rsid w:val="7F0971A6"/>
    <w:rsid w:val="7F17118B"/>
    <w:rsid w:val="7F1D62E7"/>
    <w:rsid w:val="7F3F679B"/>
    <w:rsid w:val="7F422FA1"/>
    <w:rsid w:val="7F4FC4EF"/>
    <w:rsid w:val="7F5E4D54"/>
    <w:rsid w:val="7F6E0135"/>
    <w:rsid w:val="7F79F205"/>
    <w:rsid w:val="7FA25D00"/>
    <w:rsid w:val="7FA30C79"/>
    <w:rsid w:val="7FA79C44"/>
    <w:rsid w:val="7FA95E5C"/>
    <w:rsid w:val="7FAF7257"/>
    <w:rsid w:val="7FAF8ABF"/>
    <w:rsid w:val="7FB7269E"/>
    <w:rsid w:val="7FC96657"/>
    <w:rsid w:val="7FC9706F"/>
    <w:rsid w:val="7FDA9588"/>
    <w:rsid w:val="7FDF220F"/>
    <w:rsid w:val="7FEDC5F7"/>
    <w:rsid w:val="7FEDD9DE"/>
    <w:rsid w:val="7FF5890D"/>
    <w:rsid w:val="7FF93490"/>
    <w:rsid w:val="99FF2014"/>
    <w:rsid w:val="A6DD0D7F"/>
    <w:rsid w:val="ACFF4FBB"/>
    <w:rsid w:val="ADC6F725"/>
    <w:rsid w:val="B7CF06AB"/>
    <w:rsid w:val="B7CFA926"/>
    <w:rsid w:val="B7F8786B"/>
    <w:rsid w:val="BABB6AA1"/>
    <w:rsid w:val="BB2F4199"/>
    <w:rsid w:val="BCFFB442"/>
    <w:rsid w:val="BD079C78"/>
    <w:rsid w:val="BD733540"/>
    <w:rsid w:val="BF3735D5"/>
    <w:rsid w:val="BF7F09AC"/>
    <w:rsid w:val="BFD475C3"/>
    <w:rsid w:val="BFDE5EA6"/>
    <w:rsid w:val="CF6FC6F3"/>
    <w:rsid w:val="CFD3D3D7"/>
    <w:rsid w:val="CFDF1009"/>
    <w:rsid w:val="D7D7B16A"/>
    <w:rsid w:val="D8D6DB89"/>
    <w:rsid w:val="DB6F4CAB"/>
    <w:rsid w:val="DB777682"/>
    <w:rsid w:val="DD1FB521"/>
    <w:rsid w:val="DEFBFEAE"/>
    <w:rsid w:val="DF1F3B80"/>
    <w:rsid w:val="DF6F9789"/>
    <w:rsid w:val="DFE9BE81"/>
    <w:rsid w:val="DFFFA9E8"/>
    <w:rsid w:val="E5F4E9DC"/>
    <w:rsid w:val="E70FE695"/>
    <w:rsid w:val="EB2E368B"/>
    <w:rsid w:val="ECFED1BC"/>
    <w:rsid w:val="ED1D69BB"/>
    <w:rsid w:val="ED7FD312"/>
    <w:rsid w:val="EF2E1AC6"/>
    <w:rsid w:val="EF53993F"/>
    <w:rsid w:val="EF6FD633"/>
    <w:rsid w:val="EFBFB2F4"/>
    <w:rsid w:val="EFBFFA21"/>
    <w:rsid w:val="F2BEBCB8"/>
    <w:rsid w:val="F36FB518"/>
    <w:rsid w:val="F3DE1A04"/>
    <w:rsid w:val="F3F722E5"/>
    <w:rsid w:val="F4FBCD07"/>
    <w:rsid w:val="FA5F1E70"/>
    <w:rsid w:val="FA5FDB97"/>
    <w:rsid w:val="FB7F486A"/>
    <w:rsid w:val="FBFF5B2E"/>
    <w:rsid w:val="FD7FFE2B"/>
    <w:rsid w:val="FDEE196B"/>
    <w:rsid w:val="FDFE6575"/>
    <w:rsid w:val="FEDFDDC2"/>
    <w:rsid w:val="FEED32F6"/>
    <w:rsid w:val="FEF781DD"/>
    <w:rsid w:val="FF3F7E3F"/>
    <w:rsid w:val="FFBA12D7"/>
    <w:rsid w:val="FFCBD314"/>
    <w:rsid w:val="FFDFF91C"/>
    <w:rsid w:val="FFDFFAEE"/>
    <w:rsid w:val="FFEF6777"/>
    <w:rsid w:val="FFF9B57B"/>
    <w:rsid w:val="FFFD61D9"/>
    <w:rsid w:val="FFFD8F59"/>
    <w:rsid w:val="FFFF2BB1"/>
    <w:rsid w:val="FFFFB04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2"/>
    <w:unhideWhenUsed/>
    <w:qFormat/>
    <w:uiPriority w:val="9"/>
    <w:pPr>
      <w:keepNext/>
      <w:keepLines/>
      <w:spacing w:before="260" w:after="260" w:line="416" w:lineRule="auto"/>
      <w:outlineLvl w:val="2"/>
    </w:pPr>
    <w:rPr>
      <w:b/>
      <w:bCs/>
      <w:sz w:val="32"/>
      <w:szCs w:val="32"/>
    </w:rPr>
  </w:style>
  <w:style w:type="character" w:default="1" w:styleId="16">
    <w:name w:val="Default Paragraph Font"/>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5">
    <w:name w:val="Body Text"/>
    <w:basedOn w:val="1"/>
    <w:link w:val="25"/>
    <w:qFormat/>
    <w:uiPriority w:val="99"/>
    <w:pPr>
      <w:spacing w:beforeLines="30"/>
    </w:pPr>
    <w:rPr>
      <w:rFonts w:ascii="仿宋_GB2312" w:eastAsia="仿宋_GB2312"/>
      <w:kern w:val="0"/>
      <w:sz w:val="30"/>
    </w:rPr>
  </w:style>
  <w:style w:type="paragraph" w:styleId="6">
    <w:name w:val="Body Text Indent"/>
    <w:basedOn w:val="1"/>
    <w:next w:val="7"/>
    <w:qFormat/>
    <w:uiPriority w:val="0"/>
    <w:pPr>
      <w:spacing w:after="120"/>
      <w:ind w:leftChars="200"/>
    </w:pPr>
    <w:rPr>
      <w:rFonts w:ascii="仿宋_GB2312"/>
      <w:szCs w:val="32"/>
    </w:rPr>
  </w:style>
  <w:style w:type="paragraph" w:styleId="7">
    <w:name w:val="Body Text First Indent 2"/>
    <w:basedOn w:val="6"/>
    <w:unhideWhenUsed/>
    <w:qFormat/>
    <w:uiPriority w:val="99"/>
    <w:pPr>
      <w:ind w:firstLine="420" w:firstLineChars="200"/>
    </w:pPr>
  </w:style>
  <w:style w:type="paragraph" w:styleId="8">
    <w:name w:val="toc 3"/>
    <w:basedOn w:val="1"/>
    <w:next w:val="1"/>
    <w:unhideWhenUsed/>
    <w:qFormat/>
    <w:uiPriority w:val="39"/>
    <w:pPr>
      <w:tabs>
        <w:tab w:val="right" w:leader="dot" w:pos="8296"/>
      </w:tabs>
      <w:ind w:left="840" w:leftChars="400"/>
    </w:pPr>
  </w:style>
  <w:style w:type="paragraph" w:styleId="9">
    <w:name w:val="Balloon Text"/>
    <w:basedOn w:val="1"/>
    <w:link w:val="31"/>
    <w:semiHidden/>
    <w:unhideWhenUsed/>
    <w:qFormat/>
    <w:uiPriority w:val="99"/>
    <w:rPr>
      <w:sz w:val="18"/>
      <w:szCs w:val="18"/>
    </w:rPr>
  </w:style>
  <w:style w:type="paragraph" w:styleId="10">
    <w:name w:val="footer"/>
    <w:basedOn w:val="1"/>
    <w:link w:val="23"/>
    <w:qFormat/>
    <w:uiPriority w:val="99"/>
    <w:pPr>
      <w:tabs>
        <w:tab w:val="center" w:pos="4153"/>
        <w:tab w:val="right" w:pos="8306"/>
      </w:tabs>
      <w:snapToGrid w:val="0"/>
      <w:jc w:val="left"/>
    </w:pPr>
    <w:rPr>
      <w:rFonts w:ascii="Calibri" w:hAnsi="Calibri"/>
      <w:kern w:val="0"/>
      <w:sz w:val="18"/>
      <w:szCs w:val="18"/>
    </w:rPr>
  </w:style>
  <w:style w:type="paragraph" w:styleId="11">
    <w:name w:val="header"/>
    <w:basedOn w:val="1"/>
    <w:link w:val="21"/>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2">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3">
    <w:name w:val="footnote text"/>
    <w:basedOn w:val="1"/>
    <w:next w:val="7"/>
    <w:semiHidden/>
    <w:qFormat/>
    <w:uiPriority w:val="0"/>
    <w:pPr>
      <w:snapToGrid w:val="0"/>
      <w:jc w:val="left"/>
    </w:pPr>
    <w:rPr>
      <w:sz w:val="18"/>
      <w:szCs w:val="18"/>
    </w:rPr>
  </w:style>
  <w:style w:type="paragraph" w:styleId="14">
    <w:name w:val="toc 2"/>
    <w:basedOn w:val="1"/>
    <w:next w:val="1"/>
    <w:unhideWhenUsed/>
    <w:qFormat/>
    <w:uiPriority w:val="39"/>
    <w:pPr>
      <w:tabs>
        <w:tab w:val="right" w:leader="dot" w:pos="8296"/>
      </w:tabs>
      <w:ind w:left="420" w:leftChars="200"/>
    </w:pPr>
  </w:style>
  <w:style w:type="character" w:styleId="17">
    <w:name w:val="Strong"/>
    <w:basedOn w:val="16"/>
    <w:qFormat/>
    <w:uiPriority w:val="99"/>
    <w:rPr>
      <w:b/>
    </w:rPr>
  </w:style>
  <w:style w:type="character" w:styleId="18">
    <w:name w:val="Hyperlink"/>
    <w:basedOn w:val="16"/>
    <w:unhideWhenUsed/>
    <w:qFormat/>
    <w:uiPriority w:val="99"/>
    <w:rPr>
      <w:color w:val="0000FF" w:themeColor="hyperlink"/>
      <w:u w:val="single"/>
      <w14:textFill>
        <w14:solidFill>
          <w14:schemeClr w14:val="hlink"/>
        </w14:solidFill>
      </w14:textFill>
    </w:rPr>
  </w:style>
  <w:style w:type="paragraph" w:customStyle="1" w:styleId="19">
    <w:name w:val="标题 5（有编号）（绿盟科技）"/>
    <w:next w:val="1"/>
    <w:qFormat/>
    <w:uiPriority w:val="99"/>
    <w:pPr>
      <w:keepNext/>
      <w:keepLines/>
      <w:widowControl w:val="0"/>
      <w:spacing w:before="280" w:after="156" w:line="377" w:lineRule="auto"/>
      <w:jc w:val="left"/>
      <w:outlineLvl w:val="4"/>
    </w:pPr>
    <w:rPr>
      <w:rFonts w:ascii="Arial" w:hAnsi="Arial" w:eastAsia="黑体" w:cs="Times New Roman"/>
      <w:b/>
      <w:kern w:val="2"/>
      <w:sz w:val="24"/>
      <w:szCs w:val="28"/>
      <w:lang w:val="en-US" w:eastAsia="zh-CN" w:bidi="ar-SA"/>
    </w:rPr>
  </w:style>
  <w:style w:type="character" w:customStyle="1" w:styleId="20">
    <w:name w:val="Header Char"/>
    <w:basedOn w:val="16"/>
    <w:semiHidden/>
    <w:qFormat/>
    <w:uiPriority w:val="99"/>
    <w:rPr>
      <w:rFonts w:ascii="Times New Roman" w:hAnsi="Times New Roman"/>
      <w:sz w:val="18"/>
      <w:szCs w:val="18"/>
    </w:rPr>
  </w:style>
  <w:style w:type="character" w:customStyle="1" w:styleId="21">
    <w:name w:val="页眉 Char"/>
    <w:link w:val="11"/>
    <w:semiHidden/>
    <w:qFormat/>
    <w:locked/>
    <w:uiPriority w:val="99"/>
    <w:rPr>
      <w:sz w:val="18"/>
    </w:rPr>
  </w:style>
  <w:style w:type="character" w:customStyle="1" w:styleId="22">
    <w:name w:val="Footer Char"/>
    <w:basedOn w:val="16"/>
    <w:semiHidden/>
    <w:qFormat/>
    <w:uiPriority w:val="99"/>
    <w:rPr>
      <w:rFonts w:ascii="Times New Roman" w:hAnsi="Times New Roman"/>
      <w:sz w:val="18"/>
      <w:szCs w:val="18"/>
    </w:rPr>
  </w:style>
  <w:style w:type="character" w:customStyle="1" w:styleId="23">
    <w:name w:val="页脚 Char"/>
    <w:link w:val="10"/>
    <w:qFormat/>
    <w:locked/>
    <w:uiPriority w:val="99"/>
    <w:rPr>
      <w:sz w:val="18"/>
    </w:rPr>
  </w:style>
  <w:style w:type="character" w:customStyle="1" w:styleId="24">
    <w:name w:val="Body Text Char"/>
    <w:basedOn w:val="16"/>
    <w:semiHidden/>
    <w:qFormat/>
    <w:uiPriority w:val="99"/>
    <w:rPr>
      <w:rFonts w:ascii="Times New Roman" w:hAnsi="Times New Roman"/>
      <w:szCs w:val="24"/>
    </w:rPr>
  </w:style>
  <w:style w:type="character" w:customStyle="1" w:styleId="25">
    <w:name w:val="正文文本 Char"/>
    <w:link w:val="5"/>
    <w:qFormat/>
    <w:locked/>
    <w:uiPriority w:val="99"/>
    <w:rPr>
      <w:rFonts w:ascii="仿宋_GB2312" w:hAnsi="Times New Roman" w:eastAsia="仿宋_GB2312"/>
      <w:sz w:val="24"/>
    </w:rPr>
  </w:style>
  <w:style w:type="paragraph" w:customStyle="1" w:styleId="26">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27">
    <w:name w:val="List Paragraph"/>
    <w:basedOn w:val="1"/>
    <w:qFormat/>
    <w:uiPriority w:val="34"/>
    <w:pPr>
      <w:ind w:firstLine="420" w:firstLineChars="200"/>
    </w:pPr>
  </w:style>
  <w:style w:type="character" w:customStyle="1" w:styleId="28">
    <w:name w:val="标题 1 Char"/>
    <w:basedOn w:val="16"/>
    <w:link w:val="2"/>
    <w:qFormat/>
    <w:uiPriority w:val="9"/>
    <w:rPr>
      <w:rFonts w:ascii="Times New Roman" w:hAnsi="Times New Roman"/>
      <w:b/>
      <w:bCs/>
      <w:kern w:val="44"/>
      <w:sz w:val="44"/>
      <w:szCs w:val="44"/>
    </w:rPr>
  </w:style>
  <w:style w:type="character" w:customStyle="1" w:styleId="29">
    <w:name w:val="标题 2 Char"/>
    <w:basedOn w:val="16"/>
    <w:link w:val="3"/>
    <w:qFormat/>
    <w:uiPriority w:val="9"/>
    <w:rPr>
      <w:rFonts w:asciiTheme="majorHAnsi" w:hAnsiTheme="majorHAnsi" w:eastAsiaTheme="majorEastAsia" w:cstheme="majorBidi"/>
      <w:b/>
      <w:bCs/>
      <w:kern w:val="2"/>
      <w:sz w:val="32"/>
      <w:szCs w:val="32"/>
    </w:rPr>
  </w:style>
  <w:style w:type="paragraph" w:customStyle="1" w:styleId="30">
    <w:name w:val="TOC 标题1"/>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1">
    <w:name w:val="批注框文本 Char"/>
    <w:basedOn w:val="16"/>
    <w:link w:val="9"/>
    <w:semiHidden/>
    <w:qFormat/>
    <w:uiPriority w:val="99"/>
    <w:rPr>
      <w:rFonts w:ascii="Times New Roman" w:hAnsi="Times New Roman"/>
      <w:kern w:val="2"/>
      <w:sz w:val="18"/>
      <w:szCs w:val="18"/>
    </w:rPr>
  </w:style>
  <w:style w:type="character" w:customStyle="1" w:styleId="32">
    <w:name w:val="标题 3 Char"/>
    <w:basedOn w:val="16"/>
    <w:link w:val="4"/>
    <w:qFormat/>
    <w:uiPriority w:val="9"/>
    <w:rPr>
      <w:rFonts w:ascii="Times New Roman" w:hAnsi="Times New Roman"/>
      <w:b/>
      <w:bCs/>
      <w:kern w:val="2"/>
      <w:sz w:val="32"/>
      <w:szCs w:val="32"/>
    </w:rPr>
  </w:style>
  <w:style w:type="paragraph" w:customStyle="1" w:styleId="33">
    <w:name w:val="TOC Heading"/>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34">
    <w:name w:val="四号正文"/>
    <w:basedOn w:val="1"/>
    <w:qFormat/>
    <w:uiPriority w:val="0"/>
    <w:pPr>
      <w:spacing w:line="360" w:lineRule="auto"/>
    </w:pPr>
    <w:rPr>
      <w:rFonts w:ascii="??" w:hAnsi="??" w:eastAsia="宋体"/>
      <w:color w:val="000000"/>
      <w:kern w:val="0"/>
      <w:sz w:val="28"/>
      <w:szCs w:val="21"/>
      <w:lang w:val="zh-CN" w:eastAsia="zh-CN"/>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6.png"/><Relationship Id="rId21" Type="http://schemas.openxmlformats.org/officeDocument/2006/relationships/chart" Target="charts/chart1.xml"/><Relationship Id="rId20" Type="http://schemas.openxmlformats.org/officeDocument/2006/relationships/image" Target="media/image5.e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4.emf"/><Relationship Id="rId17" Type="http://schemas.openxmlformats.org/officeDocument/2006/relationships/oleObject" Target="embeddings/oleObject2.bin"/><Relationship Id="rId16" Type="http://schemas.openxmlformats.org/officeDocument/2006/relationships/image" Target="media/image3.emf"/><Relationship Id="rId15" Type="http://schemas.openxmlformats.org/officeDocument/2006/relationships/image" Target="media/image2.emf"/><Relationship Id="rId14" Type="http://schemas.openxmlformats.org/officeDocument/2006/relationships/oleObject" Target="embeddings/oleObject1.bin"/><Relationship Id="rId13" Type="http://schemas.openxmlformats.org/officeDocument/2006/relationships/image" Target="media/image1.emf"/><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0968737001386511"/>
          <c:y val="0.0537489157010804"/>
        </c:manualLayout>
      </c:layout>
      <c:overlay val="0"/>
      <c:spPr>
        <a:noFill/>
        <a:ln>
          <a:noFill/>
        </a:ln>
        <a:effectLst/>
      </c:spPr>
      <c:txPr>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p>
      </c:txPr>
    </c:title>
    <c:autoTitleDeleted val="0"/>
    <c:plotArea>
      <c:layout/>
      <c:pieChart>
        <c:varyColors val="1"/>
        <c:ser>
          <c:idx val="0"/>
          <c:order val="0"/>
          <c:tx>
            <c:strRef>
              <c:f>Sheet1!$B$1</c:f>
              <c:strCache>
                <c:ptCount val="1"/>
                <c:pt idx="0">
                  <c:v>图6：一般公共预算财政拨款支出决算结构</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Lbls>
            <c:delete val="1"/>
          </c:dLbls>
          <c:cat>
            <c:strRef>
              <c:f>Sheet1!$A$2:$A$5</c:f>
              <c:strCache>
                <c:ptCount val="4"/>
                <c:pt idx="0">
                  <c:v>一般公共服务支出</c:v>
                </c:pt>
                <c:pt idx="1">
                  <c:v>社会保障和就业支出</c:v>
                </c:pt>
                <c:pt idx="2">
                  <c:v>卫生健康支出</c:v>
                </c:pt>
                <c:pt idx="3">
                  <c:v>住房保障支出</c:v>
                </c:pt>
              </c:strCache>
            </c:strRef>
          </c:cat>
          <c:val>
            <c:numRef>
              <c:f>Sheet1!$B$2:$B$5</c:f>
              <c:numCache>
                <c:formatCode>General</c:formatCode>
                <c:ptCount val="4"/>
                <c:pt idx="0">
                  <c:v>1834.59</c:v>
                </c:pt>
                <c:pt idx="1">
                  <c:v>218.54</c:v>
                </c:pt>
                <c:pt idx="2">
                  <c:v>70.05</c:v>
                </c:pt>
                <c:pt idx="3">
                  <c:v>131.73</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567bc79c-cc8e-4ed7-b2d4-d79df9c99c80}"/>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四川省财政厅</Company>
  <Pages>74</Pages>
  <Words>7746</Words>
  <Characters>8251</Characters>
  <Lines>1</Lines>
  <Paragraphs>1</Paragraphs>
  <TotalTime>1</TotalTime>
  <ScaleCrop>false</ScaleCrop>
  <LinksUpToDate>false</LinksUpToDate>
  <CharactersWithSpaces>8276</CharactersWithSpaces>
  <Application>WPS Office_12.1.0.22525_F1E327BC-269C-435d-A152-05C5408002CA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2020-08-09T09:49:00Z</dcterms:created>
  <dc:creator>曹颖</dc:creator>
  <cp:lastModifiedBy>Administrator</cp:lastModifiedBy>
  <cp:lastPrinted>2025-09-22T04:09:00Z</cp:lastPrinted>
  <dcterms:modified xsi:type="dcterms:W3CDTF">2025-09-22T09:07:10Z</dcterms:modified>
  <dc:title>四川省***</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2052-12.1.0.22525</vt:lpwstr>
  </property>
  <property fmtid="{D5CDD505-2E9C-101B-9397-08002B2CF9AE}" pid="3" name="ICV">
    <vt:lpwstr>04787F2533EB45DC91BCDE4AB213247F</vt:lpwstr>
  </property>
  <property fmtid="{D5CDD505-2E9C-101B-9397-08002B2CF9AE}" pid="4" name="KSOTemplateDocerSaveRecord">
    <vt:lpwstr>eyJoZGlkIjoiNDQ2Njc1OGQ5M2QyOTgzZDMxYjAzNmI1YWViOTk5NzQifQ==</vt:lpwstr>
  </property>
</Properties>
</file>