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比选承诺函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中共泸州市委政法委员会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我方已仔细研究了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平安泸州建设专项规划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编制项目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比选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的全部内容，现郑重承诺如下：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一、具备《中华人民共和国政府采购法》第二十二条和本项目规定的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比选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二、截至响应文件提交截止日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，我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单位在经营活动中没有重大违法记录，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未被列入失信被执行人、重大税收违法案件当事人名单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政府采购严重违法失信行为记录名单等。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我单位承诺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以上内容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全部属实，如有虚假将承担因此而产生的一切法律责任和后果。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比选申请人名称（公章）：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    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比选申请人法定代表人/负责人或授权代表签字：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日期：    年    月    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M2MxZTNmNDY4MmEzYjgxODMzNGJmYTNjYzk5MWQifQ=="/>
  </w:docVars>
  <w:rsids>
    <w:rsidRoot w:val="00000000"/>
    <w:rsid w:val="670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2023-06-15T07:27:56Z</dcterms:created>
  <dc:creator>Administrator</dc:creator>
  <cp:lastModifiedBy>WPS_1679567166</cp:lastModifiedBy>
  <dcterms:modified xsi:type="dcterms:W3CDTF">2023-06-15T07:28:27Z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B51B28F3928941A1BE518E7920D14B5B</vt:lpwstr>
  </property>
</Properties>
</file>